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EDF9" w14:textId="5EBC8400" w:rsidR="000E1340" w:rsidRDefault="00CD002A" w:rsidP="00CD002A">
      <w:pPr>
        <w:pStyle w:val="BodyText"/>
        <w:ind w:right="3600"/>
      </w:pPr>
      <w:r>
        <w:t xml:space="preserve">                                            </w:t>
      </w:r>
      <w:r w:rsidR="00334058">
        <w:t xml:space="preserve">SRHR Unit TERMS OF </w:t>
      </w:r>
      <w:r>
        <w:t>R</w:t>
      </w:r>
      <w:r w:rsidR="00334058">
        <w:t>EFERENCE</w:t>
      </w:r>
    </w:p>
    <w:p w14:paraId="4CA44911" w14:textId="77777777" w:rsidR="000E1340" w:rsidRDefault="00334058" w:rsidP="00CD002A">
      <w:pPr>
        <w:pStyle w:val="BodyText"/>
        <w:ind w:left="2793" w:right="2166"/>
      </w:pPr>
      <w:r>
        <w:t>For Individual Consultant (National)</w:t>
      </w:r>
    </w:p>
    <w:p w14:paraId="5593E252" w14:textId="0C383937" w:rsidR="000E1340" w:rsidRDefault="00CD002A" w:rsidP="00CD002A">
      <w:pPr>
        <w:pStyle w:val="BodyText"/>
        <w:ind w:right="2166"/>
      </w:pPr>
      <w:r>
        <w:t xml:space="preserve">                                    </w:t>
      </w:r>
      <w:r w:rsidR="00334058">
        <w:t xml:space="preserve">For Technical Assistance on Maternal Health </w:t>
      </w:r>
      <w:r>
        <w:t>Program</w:t>
      </w:r>
    </w:p>
    <w:p w14:paraId="255E5921" w14:textId="77777777" w:rsidR="000E1340" w:rsidRDefault="000E1340">
      <w:pPr>
        <w:spacing w:before="7"/>
        <w:rPr>
          <w:b/>
          <w:sz w:val="25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8114"/>
      </w:tblGrid>
      <w:tr w:rsidR="000E1340" w14:paraId="43443229" w14:textId="77777777" w:rsidTr="00E61A8E">
        <w:trPr>
          <w:trHeight w:val="505"/>
        </w:trPr>
        <w:tc>
          <w:tcPr>
            <w:tcW w:w="10022" w:type="dxa"/>
            <w:gridSpan w:val="2"/>
          </w:tcPr>
          <w:p w14:paraId="2F8E0BB3" w14:textId="77777777" w:rsidR="000E1340" w:rsidRDefault="00334058" w:rsidP="00E61A8E">
            <w:pPr>
              <w:pStyle w:val="TableParagraph"/>
              <w:spacing w:line="251" w:lineRule="exact"/>
              <w:ind w:left="3779" w:right="3762"/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  <w:p w14:paraId="77639B28" w14:textId="77777777" w:rsidR="000E1340" w:rsidRDefault="00334058" w:rsidP="00E61A8E">
            <w:pPr>
              <w:pStyle w:val="TableParagraph"/>
              <w:spacing w:line="234" w:lineRule="exact"/>
              <w:ind w:left="3834" w:right="3762"/>
              <w:jc w:val="center"/>
              <w:rPr>
                <w:b/>
              </w:rPr>
            </w:pPr>
            <w:r>
              <w:rPr>
                <w:b/>
              </w:rPr>
              <w:t>UNFPA BANGLADESH</w:t>
            </w:r>
          </w:p>
        </w:tc>
      </w:tr>
      <w:tr w:rsidR="000E1340" w14:paraId="15C4BF8C" w14:textId="77777777" w:rsidTr="00E61A8E">
        <w:trPr>
          <w:trHeight w:val="253"/>
        </w:trPr>
        <w:tc>
          <w:tcPr>
            <w:tcW w:w="1908" w:type="dxa"/>
          </w:tcPr>
          <w:p w14:paraId="2A4526A3" w14:textId="77777777" w:rsidR="000E1340" w:rsidRDefault="00334058" w:rsidP="00E61A8E">
            <w:pPr>
              <w:pStyle w:val="TableParagraph"/>
              <w:spacing w:line="233" w:lineRule="exact"/>
            </w:pPr>
            <w:r>
              <w:t>Hiring Office:</w:t>
            </w:r>
          </w:p>
        </w:tc>
        <w:tc>
          <w:tcPr>
            <w:tcW w:w="8114" w:type="dxa"/>
          </w:tcPr>
          <w:p w14:paraId="39E80997" w14:textId="77777777" w:rsidR="000E1340" w:rsidRDefault="00334058" w:rsidP="00E61A8E">
            <w:pPr>
              <w:pStyle w:val="TableParagraph"/>
              <w:spacing w:line="233" w:lineRule="exact"/>
              <w:ind w:left="146"/>
            </w:pPr>
            <w:r>
              <w:t>UNFPA Bangladesh Country Office</w:t>
            </w:r>
          </w:p>
        </w:tc>
      </w:tr>
      <w:tr w:rsidR="000E1340" w14:paraId="7294E1A2" w14:textId="77777777" w:rsidTr="00E61A8E">
        <w:trPr>
          <w:trHeight w:val="6741"/>
        </w:trPr>
        <w:tc>
          <w:tcPr>
            <w:tcW w:w="1908" w:type="dxa"/>
          </w:tcPr>
          <w:p w14:paraId="37F52198" w14:textId="77777777" w:rsidR="000E1340" w:rsidRDefault="00334058" w:rsidP="00E61A8E">
            <w:pPr>
              <w:pStyle w:val="TableParagraph"/>
              <w:spacing w:line="246" w:lineRule="exact"/>
            </w:pPr>
            <w:r>
              <w:t>Purpose of consultancy:</w:t>
            </w:r>
          </w:p>
        </w:tc>
        <w:tc>
          <w:tcPr>
            <w:tcW w:w="8114" w:type="dxa"/>
          </w:tcPr>
          <w:p w14:paraId="6D779EFA" w14:textId="32AD2612" w:rsidR="000E1340" w:rsidRDefault="00334058" w:rsidP="00CD002A">
            <w:pPr>
              <w:pStyle w:val="TableParagraph"/>
              <w:ind w:left="146" w:right="115"/>
              <w:jc w:val="both"/>
              <w:rPr>
                <w:b/>
                <w:sz w:val="21"/>
              </w:rPr>
            </w:pPr>
            <w:r>
              <w:t>Bangladesh</w:t>
            </w:r>
            <w:r w:rsidR="00915617">
              <w:t xml:space="preserve"> having</w:t>
            </w:r>
            <w:r>
              <w:t xml:space="preserve"> one of the largest UNFPA country </w:t>
            </w:r>
            <w:r w:rsidR="00CD002A">
              <w:t>programs</w:t>
            </w:r>
            <w:r>
              <w:t xml:space="preserve">. The current country </w:t>
            </w:r>
            <w:r w:rsidR="00DA50C6">
              <w:t>program</w:t>
            </w:r>
            <w:r>
              <w:t xml:space="preserve"> will come to an end in 2021 and development of next country </w:t>
            </w:r>
            <w:r w:rsidR="00CD002A">
              <w:t>program</w:t>
            </w:r>
            <w:r>
              <w:t xml:space="preserve"> is ongoing.</w:t>
            </w:r>
            <w:r w:rsidR="00CD002A">
              <w:t xml:space="preserve"> </w:t>
            </w:r>
            <w:r>
              <w:t xml:space="preserve">UNFPA has been supporting the Government of Bangladesh in various </w:t>
            </w:r>
            <w:r w:rsidR="00DA50C6">
              <w:t>thematic and</w:t>
            </w:r>
            <w:r w:rsidR="00915617">
              <w:t xml:space="preserve"> programmatic </w:t>
            </w:r>
            <w:r>
              <w:t>areas, including midwifery led-</w:t>
            </w:r>
            <w:r w:rsidR="00915617">
              <w:t xml:space="preserve">continuum </w:t>
            </w:r>
            <w:proofErr w:type="gramStart"/>
            <w:r w:rsidR="00915617">
              <w:t xml:space="preserve">of </w:t>
            </w:r>
            <w:r>
              <w:t>,</w:t>
            </w:r>
            <w:proofErr w:type="gramEnd"/>
            <w:r>
              <w:t xml:space="preserve"> maternal </w:t>
            </w:r>
            <w:r w:rsidR="00915617">
              <w:t>care</w:t>
            </w:r>
            <w:r>
              <w:t>, family planning, addressing response to RH morbidities, health sector response to GBV, cervical cancer, STI management and humanitarian support during emergencies and support for response to ongoing COVID-19</w:t>
            </w:r>
            <w:r>
              <w:rPr>
                <w:spacing w:val="-7"/>
              </w:rPr>
              <w:t xml:space="preserve"> </w:t>
            </w:r>
            <w:r>
              <w:t>pandemic</w:t>
            </w:r>
            <w:r w:rsidR="00CD002A">
              <w:t>.</w:t>
            </w:r>
          </w:p>
          <w:p w14:paraId="1F1C86C7" w14:textId="078131C2" w:rsidR="000E1340" w:rsidRDefault="00334058" w:rsidP="00E61A8E">
            <w:pPr>
              <w:pStyle w:val="TableParagraph"/>
              <w:spacing w:before="1"/>
              <w:ind w:left="146" w:right="115"/>
              <w:jc w:val="both"/>
              <w:rPr>
                <w:b/>
              </w:rPr>
            </w:pPr>
            <w:r>
              <w:t xml:space="preserve">Bangladesh has achieved remarkable progress in sexual and reproductive health indicators such as reduction of TFR, increase in CPR, reduction of maternal deaths and access to safe and quality midwifery-led maternal health and FP services. However, there are still many challenges in policy advocacy and effective </w:t>
            </w:r>
            <w:r w:rsidR="00915617">
              <w:t>program</w:t>
            </w:r>
            <w:r>
              <w:t xml:space="preserve"> implementation to reach out to vulnerable populations for SRHR services to achieve UNFPA’s three transformative </w:t>
            </w:r>
            <w:r w:rsidR="00E61A8E">
              <w:t>results:</w:t>
            </w:r>
            <w:r>
              <w:t xml:space="preserve"> zero maternal death, zero unmet need of FP and zero violence against women and</w:t>
            </w:r>
            <w:r>
              <w:rPr>
                <w:spacing w:val="-1"/>
              </w:rPr>
              <w:t xml:space="preserve"> </w:t>
            </w:r>
            <w:r>
              <w:t>girls.</w:t>
            </w:r>
          </w:p>
          <w:p w14:paraId="246B43BB" w14:textId="7C1B4D58" w:rsidR="000E1340" w:rsidRDefault="00334058" w:rsidP="00E61A8E">
            <w:pPr>
              <w:pStyle w:val="TableParagraph"/>
              <w:ind w:left="146" w:right="114"/>
              <w:jc w:val="both"/>
            </w:pPr>
            <w:r>
              <w:t xml:space="preserve">The challenges for accessing to and availability of SRH services have further been stretched by the ongoing COVID-19 pandemic. Although the uptake of SRH services is gradually improving, however, the demand and supply sides barriers due to stigma, fear, lack of PPE and widespread availability, </w:t>
            </w:r>
            <w:r w:rsidR="00915617">
              <w:t>access,</w:t>
            </w:r>
            <w:r>
              <w:t xml:space="preserve"> and </w:t>
            </w:r>
            <w:r w:rsidR="00915617">
              <w:t>utilization</w:t>
            </w:r>
            <w:r>
              <w:t xml:space="preserve"> of quality SRH services, including maternal health services will need continual support for progressive strengthening and scale up, particularly till the time vaccination is available at a large scale and transmission is in control. There is also a huge gap in health sector response to </w:t>
            </w:r>
            <w:r>
              <w:rPr>
                <w:spacing w:val="-2"/>
              </w:rPr>
              <w:t xml:space="preserve">GBV </w:t>
            </w:r>
            <w:r>
              <w:t>as incidences of GBV cases have significantly increased during the COVID-19 pandemic</w:t>
            </w:r>
            <w:r>
              <w:rPr>
                <w:spacing w:val="-1"/>
              </w:rPr>
              <w:t xml:space="preserve"> </w:t>
            </w:r>
            <w:r>
              <w:t>situation.</w:t>
            </w:r>
          </w:p>
          <w:p w14:paraId="4CC9BE43" w14:textId="6A2CDDC9" w:rsidR="000E1340" w:rsidRDefault="00334058" w:rsidP="00E61A8E">
            <w:pPr>
              <w:pStyle w:val="TableParagraph"/>
              <w:ind w:left="146" w:right="115"/>
              <w:jc w:val="both"/>
            </w:pPr>
            <w:r>
              <w:t xml:space="preserve">In order to assist the </w:t>
            </w:r>
            <w:r w:rsidR="00915617">
              <w:t>health</w:t>
            </w:r>
            <w:r>
              <w:t xml:space="preserve"> </w:t>
            </w:r>
            <w:r w:rsidR="00915617">
              <w:t>workforce</w:t>
            </w:r>
            <w:r>
              <w:t xml:space="preserve"> in Bangladesh, </w:t>
            </w:r>
            <w:r w:rsidR="007F09B7">
              <w:t>a strong</w:t>
            </w:r>
            <w:r w:rsidR="00915617">
              <w:t xml:space="preserve"> health system and </w:t>
            </w:r>
            <w:r w:rsidR="002A6484">
              <w:t>highly motivated</w:t>
            </w:r>
            <w:r w:rsidR="00915617">
              <w:t xml:space="preserve">, </w:t>
            </w:r>
            <w:r>
              <w:t xml:space="preserve">skilled, </w:t>
            </w:r>
            <w:r w:rsidR="00CD002A">
              <w:t>knowledgeable,</w:t>
            </w:r>
            <w:r>
              <w:t xml:space="preserve"> and experienced professional is required to provide the necessary policy guidance on these (above) challenges.</w:t>
            </w:r>
          </w:p>
        </w:tc>
      </w:tr>
      <w:tr w:rsidR="000E1340" w14:paraId="45E88667" w14:textId="77777777" w:rsidTr="00E61A8E">
        <w:trPr>
          <w:trHeight w:val="3290"/>
        </w:trPr>
        <w:tc>
          <w:tcPr>
            <w:tcW w:w="1908" w:type="dxa"/>
          </w:tcPr>
          <w:p w14:paraId="54A10720" w14:textId="77777777" w:rsidR="000E1340" w:rsidRDefault="00334058" w:rsidP="00E61A8E">
            <w:pPr>
              <w:pStyle w:val="TableParagraph"/>
              <w:ind w:right="392"/>
              <w:rPr>
                <w:i/>
              </w:rPr>
            </w:pPr>
            <w:r>
              <w:t xml:space="preserve">Scope of work: </w:t>
            </w:r>
            <w:r>
              <w:rPr>
                <w:i/>
              </w:rPr>
              <w:t>(Description of services, activities, or outputs)</w:t>
            </w:r>
          </w:p>
        </w:tc>
        <w:tc>
          <w:tcPr>
            <w:tcW w:w="8114" w:type="dxa"/>
          </w:tcPr>
          <w:p w14:paraId="1DF80763" w14:textId="2A1DA2D4" w:rsidR="000E1340" w:rsidRDefault="00334058" w:rsidP="00E61A8E">
            <w:pPr>
              <w:pStyle w:val="TableParagraph"/>
              <w:spacing w:line="246" w:lineRule="exact"/>
              <w:ind w:left="146"/>
              <w:rPr>
                <w:b/>
              </w:rPr>
            </w:pPr>
            <w:r>
              <w:t>The consultant will assist the health team in the following areas:</w:t>
            </w:r>
          </w:p>
          <w:p w14:paraId="4F401830" w14:textId="2263A09C" w:rsidR="000E1340" w:rsidRDefault="00334058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6"/>
              <w:jc w:val="both"/>
            </w:pPr>
            <w:r>
              <w:t xml:space="preserve">Provide strategic and policy guidance and support for improved utilization of </w:t>
            </w:r>
            <w:r w:rsidR="00E85FC8">
              <w:t>maternal and</w:t>
            </w:r>
            <w:r w:rsidR="00B658A6">
              <w:t xml:space="preserve"> newborn </w:t>
            </w:r>
            <w:r>
              <w:t>health and SRHR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 w:rsidR="00B658A6">
              <w:t xml:space="preserve">  </w:t>
            </w:r>
          </w:p>
          <w:p w14:paraId="37D04E21" w14:textId="3CE2053A" w:rsidR="00B658A6" w:rsidRDefault="00B658A6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6"/>
              <w:jc w:val="both"/>
            </w:pPr>
            <w:r>
              <w:t>Provide support for the improvement of quality of care in the health care delivery system which is well documented in the PIP</w:t>
            </w:r>
            <w:r w:rsidR="00CD002A">
              <w:t xml:space="preserve"> and working with DGHS, DGFP, DGNM and HEU</w:t>
            </w:r>
          </w:p>
          <w:p w14:paraId="68ECBE41" w14:textId="12985805" w:rsidR="000E1340" w:rsidRDefault="00334058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before="1"/>
              <w:ind w:right="116"/>
              <w:jc w:val="both"/>
            </w:pPr>
            <w:r>
              <w:t>Provide technical assistance to UNFPA/MoHFW to strengthen ongoing support to COVID-19 for improved uptake and quality of SRHR</w:t>
            </w:r>
            <w:r w:rsidR="00E85FC8">
              <w:t xml:space="preserve"> </w:t>
            </w:r>
            <w:r w:rsidR="007F09B7">
              <w:t>especially</w:t>
            </w:r>
            <w:r w:rsidR="00B658A6">
              <w:t xml:space="preserve"> maternal health care</w:t>
            </w:r>
            <w:r>
              <w:t xml:space="preserve"> services by all, with focus on vulnerable girls and</w:t>
            </w:r>
            <w:r>
              <w:rPr>
                <w:spacing w:val="-9"/>
              </w:rPr>
              <w:t xml:space="preserve"> </w:t>
            </w:r>
            <w:r>
              <w:t>women.</w:t>
            </w:r>
          </w:p>
          <w:p w14:paraId="5D4BB521" w14:textId="3157E5B2" w:rsidR="000E1340" w:rsidRDefault="00334058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5"/>
              <w:jc w:val="both"/>
            </w:pPr>
            <w:r>
              <w:t>Provide technical support to quality secretariat, MOH&amp;FW especially policy level implementation and some especial areas like zero maternal death, TQM</w:t>
            </w:r>
            <w:proofErr w:type="gramStart"/>
            <w:r>
              <w:t>, ,</w:t>
            </w:r>
            <w:proofErr w:type="gramEnd"/>
            <w:r>
              <w:t xml:space="preserve"> green hospital transformation and other quality intervention, including implementation of Government’s Operational Plans (OPs) of 4</w:t>
            </w:r>
            <w:r>
              <w:rPr>
                <w:vertAlign w:val="superscript"/>
              </w:rPr>
              <w:t>th</w:t>
            </w:r>
            <w:r>
              <w:t xml:space="preserve"> Health Sector</w:t>
            </w:r>
            <w:r>
              <w:rPr>
                <w:spacing w:val="-7"/>
              </w:rPr>
              <w:t xml:space="preserve"> </w:t>
            </w:r>
            <w:r w:rsidR="00E85FC8">
              <w:t>Program</w:t>
            </w:r>
            <w:r>
              <w:t>.</w:t>
            </w:r>
          </w:p>
          <w:p w14:paraId="1413A9F2" w14:textId="506AB4AC" w:rsidR="002A6484" w:rsidRDefault="002A6484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5"/>
              <w:jc w:val="both"/>
            </w:pPr>
            <w:r>
              <w:t xml:space="preserve">Technical support for updating the MPDSR training module and appraisal of the MPDSR performance </w:t>
            </w:r>
          </w:p>
          <w:p w14:paraId="0C4B91E2" w14:textId="0156DB05" w:rsidR="002A6484" w:rsidRDefault="002A6484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5"/>
              <w:jc w:val="both"/>
            </w:pPr>
            <w:r>
              <w:t xml:space="preserve"> Strengthening community engagement of the CJ model for hospital management with the participation of local management</w:t>
            </w:r>
          </w:p>
          <w:p w14:paraId="3266A1E5" w14:textId="7C1D12C6" w:rsidR="00E61A8E" w:rsidRDefault="00E85FC8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5"/>
              <w:jc w:val="both"/>
            </w:pPr>
            <w:r>
              <w:t>Technical support for the</w:t>
            </w:r>
            <w:r w:rsidR="007F09B7">
              <w:t xml:space="preserve"> development of model </w:t>
            </w:r>
            <w:r w:rsidR="00E61A8E">
              <w:t>and implementation</w:t>
            </w:r>
            <w:r w:rsidR="007F09B7">
              <w:t xml:space="preserve"> of better health district implementation</w:t>
            </w:r>
            <w:r w:rsidR="002A6484">
              <w:t xml:space="preserve"> </w:t>
            </w:r>
          </w:p>
          <w:p w14:paraId="4CFA36C5" w14:textId="3A498B02" w:rsidR="0049101A" w:rsidRDefault="00334058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5"/>
              <w:jc w:val="both"/>
            </w:pPr>
            <w:r>
              <w:t>Provide</w:t>
            </w:r>
            <w:r w:rsidRPr="00E61A8E">
              <w:rPr>
                <w:spacing w:val="28"/>
              </w:rPr>
              <w:t xml:space="preserve"> </w:t>
            </w:r>
            <w:r>
              <w:t>technical</w:t>
            </w:r>
            <w:r w:rsidRPr="00E61A8E">
              <w:rPr>
                <w:spacing w:val="28"/>
              </w:rPr>
              <w:t xml:space="preserve"> </w:t>
            </w:r>
            <w:r>
              <w:t>support</w:t>
            </w:r>
            <w:r w:rsidRPr="00E61A8E">
              <w:rPr>
                <w:spacing w:val="27"/>
              </w:rPr>
              <w:t xml:space="preserve"> </w:t>
            </w:r>
            <w:r>
              <w:t>for</w:t>
            </w:r>
            <w:r w:rsidRPr="00E61A8E">
              <w:rPr>
                <w:spacing w:val="26"/>
              </w:rPr>
              <w:t xml:space="preserve"> </w:t>
            </w:r>
            <w:r>
              <w:t>formulation</w:t>
            </w:r>
            <w:r w:rsidRPr="00E61A8E">
              <w:rPr>
                <w:spacing w:val="25"/>
              </w:rPr>
              <w:t xml:space="preserve"> </w:t>
            </w:r>
            <w:r>
              <w:t>and</w:t>
            </w:r>
            <w:r w:rsidRPr="00E61A8E">
              <w:rPr>
                <w:spacing w:val="29"/>
              </w:rPr>
              <w:t xml:space="preserve"> </w:t>
            </w:r>
            <w:r>
              <w:t>revision</w:t>
            </w:r>
            <w:r w:rsidRPr="00E61A8E">
              <w:rPr>
                <w:spacing w:val="27"/>
              </w:rPr>
              <w:t xml:space="preserve"> </w:t>
            </w:r>
            <w:r>
              <w:t>of</w:t>
            </w:r>
            <w:r w:rsidRPr="00E61A8E">
              <w:rPr>
                <w:spacing w:val="28"/>
              </w:rPr>
              <w:t xml:space="preserve"> </w:t>
            </w:r>
            <w:r>
              <w:t>OPs</w:t>
            </w:r>
            <w:r w:rsidRPr="00E61A8E">
              <w:rPr>
                <w:spacing w:val="29"/>
              </w:rPr>
              <w:t xml:space="preserve"> </w:t>
            </w:r>
            <w:r>
              <w:t>of</w:t>
            </w:r>
            <w:r w:rsidRPr="00E61A8E">
              <w:rPr>
                <w:spacing w:val="28"/>
              </w:rPr>
              <w:t xml:space="preserve"> </w:t>
            </w:r>
            <w:r>
              <w:t>GNSP</w:t>
            </w:r>
            <w:r w:rsidR="0049101A">
              <w:t xml:space="preserve"> unit and proper intervention of special areas like CMR, GBV and reporting</w:t>
            </w:r>
            <w:r w:rsidR="0049101A" w:rsidRPr="00E61A8E">
              <w:rPr>
                <w:spacing w:val="-4"/>
              </w:rPr>
              <w:t xml:space="preserve"> </w:t>
            </w:r>
            <w:r w:rsidR="0049101A">
              <w:t>mechanism.</w:t>
            </w:r>
          </w:p>
          <w:p w14:paraId="576AA713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>Improvement of lab services for screening of STI with policy level advocacy, STI strategy and</w:t>
            </w:r>
            <w:r>
              <w:rPr>
                <w:spacing w:val="-7"/>
              </w:rPr>
              <w:t xml:space="preserve"> </w:t>
            </w:r>
            <w:r>
              <w:t>translation.</w:t>
            </w:r>
          </w:p>
          <w:p w14:paraId="3C2EC0C2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 xml:space="preserve">Policy level advocacy for the strengthening of EOC with aim to reduce maternal death and establishing better coordination between DGHS and DGFP for maternal </w:t>
            </w:r>
            <w:r>
              <w:lastRenderedPageBreak/>
              <w:t>and newborn health and providing support to their Operation</w:t>
            </w:r>
            <w:r>
              <w:rPr>
                <w:spacing w:val="-7"/>
              </w:rPr>
              <w:t xml:space="preserve"> </w:t>
            </w:r>
            <w:r>
              <w:t>Plans.</w:t>
            </w:r>
          </w:p>
          <w:p w14:paraId="34BB508C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 xml:space="preserve">Development of quality mentorship guideline for quality improvement of maternal and newborn care Under the guidance of QIS </w:t>
            </w:r>
          </w:p>
          <w:p w14:paraId="110DE05B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>Provide support for the development of National maternal toolkit for improving the management and quality</w:t>
            </w:r>
          </w:p>
          <w:p w14:paraId="2A5D5F56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8"/>
              <w:jc w:val="both"/>
            </w:pPr>
            <w:r>
              <w:t>Provide support and advocacy for PPFP under DGHS and strengthening coordination mechanisms between DGHS &amp;</w:t>
            </w:r>
            <w:r>
              <w:rPr>
                <w:spacing w:val="-7"/>
              </w:rPr>
              <w:t xml:space="preserve"> </w:t>
            </w:r>
            <w:r>
              <w:t>DGFP.</w:t>
            </w:r>
          </w:p>
          <w:p w14:paraId="5B1F3E6E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8"/>
              <w:jc w:val="both"/>
            </w:pPr>
            <w:r>
              <w:t>Support for the action plan development on FP acceptor for disabled person under guidance of DGFP</w:t>
            </w:r>
          </w:p>
          <w:p w14:paraId="051EB7F0" w14:textId="77777777" w:rsidR="0049101A" w:rsidRDefault="0049101A" w:rsidP="00E61A8E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18"/>
              <w:jc w:val="both"/>
            </w:pPr>
            <w:r>
              <w:t>Strengthening and addressing quality issue for family planning program, including assessment of FP CS-QIT</w:t>
            </w:r>
          </w:p>
          <w:p w14:paraId="295A6ABC" w14:textId="77777777" w:rsidR="000617AF" w:rsidRDefault="0049101A" w:rsidP="000617AF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>Institutionalization of Midwifery care by the midwives, translation of Midwifery policy, strengthening accreditation of Midwifery</w:t>
            </w:r>
            <w:r>
              <w:rPr>
                <w:spacing w:val="1"/>
              </w:rPr>
              <w:t xml:space="preserve"> </w:t>
            </w:r>
            <w:r>
              <w:t>education</w:t>
            </w:r>
          </w:p>
          <w:p w14:paraId="62E189ED" w14:textId="035C51CC" w:rsidR="00E61A8E" w:rsidRDefault="00BA490A" w:rsidP="000617AF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 xml:space="preserve">Technical support for approving the SOP of Midwifery care for </w:t>
            </w:r>
            <w:r w:rsidR="00CD002A">
              <w:t>Midwives in</w:t>
            </w:r>
            <w:r>
              <w:t xml:space="preserve"> Bangla and English</w:t>
            </w:r>
          </w:p>
          <w:p w14:paraId="14EF9EB2" w14:textId="5B3E6271" w:rsidR="00537DD9" w:rsidRDefault="00CD002A" w:rsidP="000617AF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 xml:space="preserve">Provide technical support for the formulation of costing of Midwifery action plan </w:t>
            </w:r>
          </w:p>
          <w:p w14:paraId="557C70DF" w14:textId="77777777" w:rsidR="00CD002A" w:rsidRDefault="00CD002A" w:rsidP="000617AF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 xml:space="preserve">Support to DGFP for the creation of Midwifery post under DGFP </w:t>
            </w:r>
          </w:p>
          <w:p w14:paraId="3C7093F2" w14:textId="4E2A6FF2" w:rsidR="00CD002A" w:rsidRDefault="00CD002A" w:rsidP="000617AF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121"/>
              <w:jc w:val="both"/>
            </w:pPr>
            <w:r>
              <w:t>Technical support for the strengthening of Basic EOC services</w:t>
            </w:r>
          </w:p>
        </w:tc>
      </w:tr>
    </w:tbl>
    <w:tbl>
      <w:tblPr>
        <w:tblW w:w="9990" w:type="dxa"/>
        <w:tblInd w:w="-23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890"/>
        <w:gridCol w:w="8100"/>
      </w:tblGrid>
      <w:tr w:rsidR="00E37139" w:rsidRPr="000F21AA" w14:paraId="79BB8474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D0A3185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lastRenderedPageBreak/>
              <w:t>Duration: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B1AAF14" w14:textId="77777777" w:rsidR="00E37139" w:rsidRPr="000F21AA" w:rsidRDefault="00E37139" w:rsidP="00D033A3">
            <w:pPr>
              <w:tabs>
                <w:tab w:val="left" w:pos="-720"/>
              </w:tabs>
              <w:suppressAutoHyphens/>
              <w:rPr>
                <w:highlight w:val="yellow"/>
              </w:rPr>
            </w:pPr>
            <w:r>
              <w:t xml:space="preserve">Initially four months </w:t>
            </w:r>
            <w:r w:rsidRPr="000F21AA">
              <w:t>with possibility of extension</w:t>
            </w:r>
            <w:r>
              <w:t>.</w:t>
            </w:r>
          </w:p>
        </w:tc>
      </w:tr>
      <w:tr w:rsidR="00E37139" w:rsidRPr="000F21AA" w14:paraId="5C2E42B4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9D54F74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Place where services are to be delivered: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755CB9C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UNFPA Bangladesh Country Office</w:t>
            </w:r>
            <w:r>
              <w:t>.</w:t>
            </w:r>
          </w:p>
          <w:p w14:paraId="317121E6" w14:textId="77777777" w:rsidR="00E37139" w:rsidRPr="000F21AA" w:rsidRDefault="00E37139" w:rsidP="00D033A3">
            <w:pPr>
              <w:tabs>
                <w:tab w:val="left" w:pos="-720"/>
              </w:tabs>
              <w:suppressAutoHyphens/>
              <w:rPr>
                <w:highlight w:val="yellow"/>
              </w:rPr>
            </w:pPr>
          </w:p>
        </w:tc>
      </w:tr>
      <w:tr w:rsidR="00E37139" w:rsidRPr="000F21AA" w14:paraId="2711CC05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5C1DE89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Delivery dates and how work will be delivered (</w:t>
            </w:r>
            <w:r w:rsidRPr="000F21AA">
              <w:rPr>
                <w:i/>
              </w:rPr>
              <w:t>e.g.</w:t>
            </w:r>
            <w:r w:rsidRPr="000F21AA">
              <w:t xml:space="preserve"> electronic, hard copy etc.):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983243C" w14:textId="77777777" w:rsidR="00E37139" w:rsidRPr="000F21AA" w:rsidRDefault="00E37139" w:rsidP="00D033A3">
            <w:pPr>
              <w:tabs>
                <w:tab w:val="left" w:pos="-720"/>
              </w:tabs>
              <w:suppressAutoHyphens/>
              <w:jc w:val="both"/>
            </w:pPr>
            <w:r>
              <w:t>The consultant will provide technical assistance on daily basis as per UN working day/hours and will be paid on monthly basis.</w:t>
            </w:r>
          </w:p>
        </w:tc>
      </w:tr>
      <w:tr w:rsidR="00E37139" w:rsidRPr="000F21AA" w14:paraId="5C841E00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0CC9476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Monitoring and progress control, including reporting requirements, periodicity format and deadline: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36858FE" w14:textId="77777777" w:rsidR="00E37139" w:rsidRPr="000F21AA" w:rsidRDefault="00E37139" w:rsidP="00D033A3">
            <w:pPr>
              <w:tabs>
                <w:tab w:val="left" w:pos="-720"/>
              </w:tabs>
              <w:suppressAutoHyphens/>
              <w:jc w:val="both"/>
            </w:pPr>
            <w:r w:rsidRPr="000F21AA">
              <w:t xml:space="preserve">The consultant will be expected to work remotely with regular in-person meetings to be held at UNFPA country office, project offices and in other partners’ office. The </w:t>
            </w:r>
            <w:r>
              <w:t>Health Systems Specialist, UNFPA</w:t>
            </w:r>
            <w:r w:rsidRPr="000F21AA">
              <w:t xml:space="preserve"> will </w:t>
            </w:r>
            <w:r>
              <w:t>provide</w:t>
            </w:r>
            <w:r w:rsidRPr="000F21AA">
              <w:t xml:space="preserve"> day-to-day monitoring and supervision.</w:t>
            </w:r>
          </w:p>
          <w:p w14:paraId="052AF84C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</w:p>
        </w:tc>
      </w:tr>
      <w:tr w:rsidR="00E37139" w:rsidRPr="000F21AA" w14:paraId="50B5E8CC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37FCE26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 xml:space="preserve">Supervisory arrangements: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9147413" w14:textId="015513DB" w:rsidR="00E37139" w:rsidRPr="000F21AA" w:rsidRDefault="00E37139" w:rsidP="00D033A3">
            <w:pPr>
              <w:tabs>
                <w:tab w:val="left" w:pos="-720"/>
              </w:tabs>
              <w:suppressAutoHyphens/>
              <w:jc w:val="both"/>
            </w:pPr>
            <w:r>
              <w:t>The c</w:t>
            </w:r>
            <w:r w:rsidRPr="000F21AA">
              <w:t xml:space="preserve">onsultant will work under the direct supervision </w:t>
            </w:r>
            <w:r>
              <w:t xml:space="preserve">of the Chief of Health, UNFPA and </w:t>
            </w:r>
            <w:r w:rsidR="00DA3D91">
              <w:t>day-to-day</w:t>
            </w:r>
            <w:r>
              <w:t xml:space="preserve"> supervision by Health Systems Specialist.</w:t>
            </w:r>
          </w:p>
        </w:tc>
      </w:tr>
      <w:tr w:rsidR="00E37139" w:rsidRPr="000F21AA" w14:paraId="7AF05E53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DB0C986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Expected travel: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2301DB4" w14:textId="77777777" w:rsidR="00E37139" w:rsidRPr="000F21AA" w:rsidRDefault="00E37139" w:rsidP="00D033A3">
            <w:pPr>
              <w:tabs>
                <w:tab w:val="left" w:pos="-720"/>
              </w:tabs>
              <w:suppressAutoHyphens/>
              <w:jc w:val="both"/>
            </w:pPr>
            <w:r w:rsidRPr="000F21AA">
              <w:t xml:space="preserve">The Consultant will have to make her/his own arrangements and bear cost to attend meetings and consultations while in Dhaka. </w:t>
            </w:r>
          </w:p>
        </w:tc>
      </w:tr>
      <w:tr w:rsidR="00E37139" w:rsidRPr="000F21AA" w14:paraId="1988DCFA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25F917B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Required expertise, qualifications and competencies, including language requirements: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75D1B49" w14:textId="77777777" w:rsidR="00E37139" w:rsidRPr="000F21AA" w:rsidRDefault="00E37139" w:rsidP="00E37139">
            <w:pPr>
              <w:widowControl/>
              <w:numPr>
                <w:ilvl w:val="0"/>
                <w:numId w:val="6"/>
              </w:numPr>
              <w:autoSpaceDE/>
              <w:autoSpaceDN/>
              <w:ind w:left="397"/>
            </w:pPr>
            <w:r w:rsidRPr="000F21AA">
              <w:t>University degree</w:t>
            </w:r>
            <w:r>
              <w:t xml:space="preserve"> on health</w:t>
            </w:r>
            <w:r w:rsidRPr="000F21AA">
              <w:t xml:space="preserve"> with advanced deg</w:t>
            </w:r>
            <w:r>
              <w:t>ree in public health will be preferred</w:t>
            </w:r>
            <w:r w:rsidRPr="000F21AA">
              <w:t>.</w:t>
            </w:r>
          </w:p>
          <w:p w14:paraId="29ECA63F" w14:textId="77777777" w:rsidR="00E37139" w:rsidRDefault="00E37139" w:rsidP="00E37139">
            <w:pPr>
              <w:widowControl/>
              <w:numPr>
                <w:ilvl w:val="0"/>
                <w:numId w:val="6"/>
              </w:numPr>
              <w:autoSpaceDE/>
              <w:autoSpaceDN/>
              <w:ind w:left="397"/>
            </w:pPr>
            <w:r>
              <w:t>Knowledge of health systems and structures of Ministry of Health and Family Welfare and its Directorates.</w:t>
            </w:r>
          </w:p>
          <w:p w14:paraId="76B299D9" w14:textId="53A80D05" w:rsidR="00E37139" w:rsidRDefault="00E37139" w:rsidP="00E37139">
            <w:pPr>
              <w:widowControl/>
              <w:numPr>
                <w:ilvl w:val="0"/>
                <w:numId w:val="6"/>
              </w:numPr>
              <w:autoSpaceDE/>
              <w:autoSpaceDN/>
              <w:ind w:left="397"/>
            </w:pPr>
            <w:r w:rsidRPr="000F21AA">
              <w:t xml:space="preserve">Demonstrated experience of </w:t>
            </w:r>
            <w:proofErr w:type="spellStart"/>
            <w:r>
              <w:t>programme</w:t>
            </w:r>
            <w:proofErr w:type="spellEnd"/>
            <w:r>
              <w:t xml:space="preserve"> implementation in different tiers </w:t>
            </w:r>
            <w:r w:rsidR="00DA3D91">
              <w:t xml:space="preserve">of </w:t>
            </w:r>
            <w:r w:rsidR="00DA3D91" w:rsidRPr="000F21AA">
              <w:t>health</w:t>
            </w:r>
            <w:r>
              <w:t xml:space="preserve"> systems and operations plans of 4</w:t>
            </w:r>
            <w:r w:rsidRPr="006E62A1">
              <w:rPr>
                <w:vertAlign w:val="superscript"/>
              </w:rPr>
              <w:t>th</w:t>
            </w:r>
            <w:r>
              <w:t xml:space="preserve"> Health Sector </w:t>
            </w:r>
            <w:proofErr w:type="spellStart"/>
            <w:r>
              <w:t>Programme</w:t>
            </w:r>
            <w:proofErr w:type="spellEnd"/>
            <w:r>
              <w:t xml:space="preserve">. </w:t>
            </w:r>
          </w:p>
          <w:p w14:paraId="3CC5074E" w14:textId="77777777" w:rsidR="00E37139" w:rsidRPr="000F21AA" w:rsidRDefault="00E37139" w:rsidP="00E37139">
            <w:pPr>
              <w:widowControl/>
              <w:numPr>
                <w:ilvl w:val="0"/>
                <w:numId w:val="6"/>
              </w:numPr>
              <w:autoSpaceDE/>
              <w:autoSpaceDN/>
              <w:ind w:left="397"/>
            </w:pPr>
            <w:r>
              <w:t xml:space="preserve">Strong advocacy and coordination skills and public health management. </w:t>
            </w:r>
          </w:p>
          <w:p w14:paraId="6DB5FD58" w14:textId="77777777" w:rsidR="00E37139" w:rsidRPr="000F21AA" w:rsidRDefault="00E37139" w:rsidP="00E37139">
            <w:pPr>
              <w:widowControl/>
              <w:numPr>
                <w:ilvl w:val="0"/>
                <w:numId w:val="6"/>
              </w:numPr>
              <w:autoSpaceDE/>
              <w:autoSpaceDN/>
              <w:ind w:left="397"/>
            </w:pPr>
            <w:r w:rsidRPr="000F21AA">
              <w:t>Fluent in English with excellent writing proficiency</w:t>
            </w:r>
            <w:r>
              <w:t>.</w:t>
            </w:r>
          </w:p>
          <w:p w14:paraId="79C51A24" w14:textId="77777777" w:rsidR="00E37139" w:rsidRPr="000F21AA" w:rsidRDefault="00E37139" w:rsidP="00E37139">
            <w:pPr>
              <w:widowControl/>
              <w:numPr>
                <w:ilvl w:val="0"/>
                <w:numId w:val="6"/>
              </w:numPr>
              <w:autoSpaceDE/>
              <w:autoSpaceDN/>
              <w:ind w:left="397"/>
              <w:rPr>
                <w:b/>
              </w:rPr>
            </w:pPr>
            <w:r w:rsidRPr="000F21AA">
              <w:t>Familiarity with UNFPA’s mandate and work</w:t>
            </w:r>
            <w:r>
              <w:t>.</w:t>
            </w:r>
          </w:p>
        </w:tc>
      </w:tr>
      <w:tr w:rsidR="00E37139" w:rsidRPr="000F21AA" w14:paraId="774FE94E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2922D13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>
              <w:t>Inputs/</w:t>
            </w:r>
            <w:r w:rsidRPr="000F21AA">
              <w:t>services to be provided by UNFPA or implementing partner (</w:t>
            </w:r>
            <w:proofErr w:type="spellStart"/>
            <w:r w:rsidRPr="000F21AA">
              <w:t>e.g</w:t>
            </w:r>
            <w:proofErr w:type="spellEnd"/>
            <w:r w:rsidRPr="000F21AA">
              <w:t xml:space="preserve"> support services, office space, equipment), if applicable: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CD80BF8" w14:textId="77777777" w:rsidR="00E37139" w:rsidRPr="000F21AA" w:rsidRDefault="00E37139" w:rsidP="00D033A3">
            <w:pPr>
              <w:rPr>
                <w:highlight w:val="yellow"/>
              </w:rPr>
            </w:pPr>
            <w:r w:rsidRPr="000F21AA">
              <w:t>The consultant will have to use his/her own laptop.</w:t>
            </w:r>
            <w:r w:rsidRPr="000F21AA">
              <w:br/>
            </w:r>
          </w:p>
        </w:tc>
      </w:tr>
      <w:tr w:rsidR="00E37139" w:rsidRPr="000F21AA" w14:paraId="6177CCC2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FB648BA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 xml:space="preserve">Other relevant information or </w:t>
            </w:r>
            <w:r w:rsidRPr="000F21AA">
              <w:lastRenderedPageBreak/>
              <w:t>special conditions, if any: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F10D6EC" w14:textId="77777777" w:rsidR="00E37139" w:rsidRPr="000F21AA" w:rsidRDefault="00E37139" w:rsidP="00E37139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autoSpaceDE/>
              <w:autoSpaceDN/>
              <w:jc w:val="both"/>
            </w:pPr>
            <w:r w:rsidRPr="000F21AA">
              <w:lastRenderedPageBreak/>
              <w:t>The tools, reports or documents or any part, cannot be sold, used, or reproduced in any manner without the prior written approval of UNFPA.</w:t>
            </w:r>
          </w:p>
          <w:p w14:paraId="6411DCEC" w14:textId="77777777" w:rsidR="00E37139" w:rsidRPr="000F21AA" w:rsidRDefault="00E37139" w:rsidP="00E37139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autoSpaceDE/>
              <w:autoSpaceDN/>
              <w:jc w:val="both"/>
            </w:pPr>
            <w:r w:rsidRPr="000F21AA">
              <w:lastRenderedPageBreak/>
              <w:t>This consultancy is open to nationals</w:t>
            </w:r>
            <w:r>
              <w:t xml:space="preserve"> of Bangladesh</w:t>
            </w:r>
            <w:r w:rsidRPr="000F21AA">
              <w:t xml:space="preserve">. </w:t>
            </w:r>
          </w:p>
          <w:p w14:paraId="1C5524A0" w14:textId="3C0AB0D1" w:rsidR="00E37139" w:rsidRPr="000F21AA" w:rsidRDefault="00E37139" w:rsidP="00E37139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autoSpaceDE/>
              <w:autoSpaceDN/>
              <w:jc w:val="both"/>
            </w:pPr>
            <w:r w:rsidRPr="000F21AA">
              <w:t xml:space="preserve">Expected start date:  </w:t>
            </w:r>
            <w:r w:rsidR="00D4232E">
              <w:t>October</w:t>
            </w:r>
            <w:r w:rsidRPr="000F21AA">
              <w:t xml:space="preserve"> 2021</w:t>
            </w:r>
            <w:r>
              <w:t xml:space="preserve"> </w:t>
            </w:r>
          </w:p>
          <w:p w14:paraId="096ACE44" w14:textId="77777777" w:rsidR="00E37139" w:rsidRPr="000F21AA" w:rsidRDefault="00E37139" w:rsidP="00E37139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autoSpaceDE/>
              <w:autoSpaceDN/>
              <w:jc w:val="both"/>
            </w:pPr>
            <w:r w:rsidRPr="000F21AA">
              <w:t xml:space="preserve">The consultant is expected to be hired at the level of </w:t>
            </w:r>
            <w:r>
              <w:t>SB5</w:t>
            </w:r>
            <w:r w:rsidRPr="000F21AA">
              <w:t>.</w:t>
            </w:r>
          </w:p>
        </w:tc>
      </w:tr>
      <w:tr w:rsidR="00E37139" w:rsidRPr="000F21AA" w14:paraId="14CF80CA" w14:textId="77777777" w:rsidTr="00E37139">
        <w:trPr>
          <w:trHeight w:val="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7284F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lastRenderedPageBreak/>
              <w:t>COA: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245E0" w14:textId="77777777" w:rsidR="00E37139" w:rsidRPr="000F21AA" w:rsidRDefault="00E37139" w:rsidP="00D033A3">
            <w:pPr>
              <w:tabs>
                <w:tab w:val="left" w:pos="1233"/>
                <w:tab w:val="left" w:pos="3153"/>
                <w:tab w:val="left" w:pos="6433"/>
                <w:tab w:val="left" w:pos="8073"/>
                <w:tab w:val="left" w:pos="9713"/>
              </w:tabs>
              <w:ind w:left="113"/>
              <w:rPr>
                <w:color w:val="000000"/>
              </w:rPr>
            </w:pPr>
            <w:r w:rsidRPr="000F21AA">
              <w:t>BGD09MWC</w:t>
            </w:r>
            <w:r>
              <w:t>-UZJ31-TALOC11SFPA-</w:t>
            </w:r>
            <w:r w:rsidRPr="000F21AA">
              <w:t>PU0074</w:t>
            </w:r>
          </w:p>
        </w:tc>
      </w:tr>
      <w:tr w:rsidR="00E37139" w:rsidRPr="000F21AA" w14:paraId="01F71D00" w14:textId="77777777" w:rsidTr="002220D5">
        <w:trPr>
          <w:cantSplit/>
          <w:trHeight w:val="3380"/>
        </w:trPr>
        <w:tc>
          <w:tcPr>
            <w:tcW w:w="99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72C6094" w14:textId="77777777" w:rsidR="001856B7" w:rsidRDefault="001856B7" w:rsidP="001856B7">
            <w:pPr>
              <w:tabs>
                <w:tab w:val="left" w:pos="-720"/>
              </w:tabs>
              <w:suppressAutoHyphens/>
            </w:pPr>
          </w:p>
          <w:p w14:paraId="59DD6FDE" w14:textId="2C717665" w:rsidR="001856B7" w:rsidRDefault="001856B7" w:rsidP="002220D5">
            <w:pPr>
              <w:tabs>
                <w:tab w:val="left" w:pos="-720"/>
              </w:tabs>
              <w:suppressAutoHyphens/>
              <w:jc w:val="center"/>
              <w:rPr>
                <w:b/>
                <w:u w:val="single"/>
              </w:rPr>
            </w:pPr>
            <w:r w:rsidRPr="002220D5">
              <w:rPr>
                <w:b/>
                <w:u w:val="single"/>
              </w:rPr>
              <w:t>Application instruction</w:t>
            </w:r>
          </w:p>
          <w:p w14:paraId="17D7C853" w14:textId="77777777" w:rsidR="002220D5" w:rsidRPr="002220D5" w:rsidRDefault="002220D5" w:rsidP="002220D5">
            <w:pPr>
              <w:tabs>
                <w:tab w:val="left" w:pos="-720"/>
              </w:tabs>
              <w:suppressAutoHyphens/>
              <w:jc w:val="center"/>
              <w:rPr>
                <w:b/>
                <w:u w:val="single"/>
              </w:rPr>
            </w:pPr>
          </w:p>
          <w:p w14:paraId="7743BDC6" w14:textId="3314A517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>Applicants with the required qualifications and experience stated above (required expertise,</w:t>
            </w:r>
          </w:p>
          <w:p w14:paraId="757751B0" w14:textId="4E574318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>qualifications and competencies, including language requirements) should submit a copy of curriculum vitae (CV) with a cover letter.</w:t>
            </w:r>
          </w:p>
          <w:p w14:paraId="4F87F640" w14:textId="77777777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</w:p>
          <w:p w14:paraId="7D85D155" w14:textId="1A01FC98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 xml:space="preserve">Please send your application electronically to dedicated email addresses of: </w:t>
            </w:r>
            <w:hyperlink r:id="rId8" w:history="1">
              <w:r w:rsidRPr="000073B9">
                <w:rPr>
                  <w:rStyle w:val="Hyperlink"/>
                </w:rPr>
                <w:t>dugomes@unfpa.org</w:t>
              </w:r>
            </w:hyperlink>
          </w:p>
          <w:p w14:paraId="4B6A16FC" w14:textId="77777777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</w:p>
          <w:p w14:paraId="11BCA896" w14:textId="77777777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>Note: Only those candidates who meet all qualifications and experience will be contacted for</w:t>
            </w:r>
          </w:p>
          <w:p w14:paraId="0D9C3BF7" w14:textId="77777777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>further consideration.</w:t>
            </w:r>
          </w:p>
          <w:p w14:paraId="3DB5326C" w14:textId="77777777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</w:p>
          <w:p w14:paraId="6B5C1BD8" w14:textId="4C2CE481" w:rsidR="001856B7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>Female candidates are encouraged to apply.</w:t>
            </w:r>
          </w:p>
          <w:p w14:paraId="71470639" w14:textId="77777777" w:rsidR="002220D5" w:rsidRDefault="002220D5" w:rsidP="002220D5">
            <w:pPr>
              <w:tabs>
                <w:tab w:val="left" w:pos="-720"/>
              </w:tabs>
              <w:suppressAutoHyphens/>
              <w:jc w:val="center"/>
            </w:pPr>
          </w:p>
          <w:p w14:paraId="550BC109" w14:textId="3A803E74" w:rsidR="00E37139" w:rsidRDefault="001856B7" w:rsidP="002220D5">
            <w:pPr>
              <w:tabs>
                <w:tab w:val="left" w:pos="-720"/>
              </w:tabs>
              <w:suppressAutoHyphens/>
              <w:jc w:val="center"/>
            </w:pPr>
            <w:r>
              <w:t xml:space="preserve">The application deadline </w:t>
            </w:r>
            <w:bookmarkStart w:id="0" w:name="_GoBack"/>
            <w:bookmarkEnd w:id="0"/>
            <w:r w:rsidR="002220D5">
              <w:t>is 15</w:t>
            </w:r>
            <w:r w:rsidRPr="001856B7">
              <w:rPr>
                <w:vertAlign w:val="superscript"/>
              </w:rPr>
              <w:t>th</w:t>
            </w:r>
            <w:r>
              <w:t xml:space="preserve"> September 2021</w:t>
            </w:r>
          </w:p>
          <w:p w14:paraId="776BE9D9" w14:textId="25086FEB" w:rsidR="00E37139" w:rsidRPr="00D4232E" w:rsidRDefault="00E37139" w:rsidP="00E37139">
            <w:pPr>
              <w:tabs>
                <w:tab w:val="left" w:pos="-720"/>
                <w:tab w:val="left" w:pos="5790"/>
              </w:tabs>
              <w:suppressAutoHyphens/>
            </w:pPr>
          </w:p>
        </w:tc>
      </w:tr>
      <w:tr w:rsidR="002220D5" w:rsidRPr="000F21AA" w14:paraId="59D44962" w14:textId="77777777" w:rsidTr="00E37139">
        <w:trPr>
          <w:cantSplit/>
          <w:trHeight w:val="1690"/>
        </w:trPr>
        <w:tc>
          <w:tcPr>
            <w:tcW w:w="99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01CCA5" w14:textId="77777777" w:rsidR="002220D5" w:rsidRPr="000F21AA" w:rsidRDefault="002220D5" w:rsidP="002220D5">
            <w:pPr>
              <w:tabs>
                <w:tab w:val="left" w:pos="-720"/>
              </w:tabs>
              <w:suppressAutoHyphens/>
            </w:pPr>
            <w:r w:rsidRPr="000F21AA">
              <w:t>Signature of Requesting Officer in Hiring Office:</w:t>
            </w:r>
          </w:p>
          <w:p w14:paraId="5814AE5B" w14:textId="77777777" w:rsidR="002220D5" w:rsidRDefault="002220D5" w:rsidP="002220D5">
            <w:pPr>
              <w:tabs>
                <w:tab w:val="left" w:pos="-720"/>
                <w:tab w:val="left" w:pos="5790"/>
              </w:tabs>
              <w:suppressAutoHyphens/>
            </w:pPr>
          </w:p>
          <w:p w14:paraId="2C71BFC9" w14:textId="77777777" w:rsidR="002220D5" w:rsidRDefault="002220D5" w:rsidP="002220D5">
            <w:pPr>
              <w:tabs>
                <w:tab w:val="left" w:pos="-720"/>
                <w:tab w:val="left" w:pos="5790"/>
              </w:tabs>
              <w:suppressAutoHyphens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drawing>
                <wp:inline distT="0" distB="0" distL="0" distR="0" wp14:anchorId="7B014CF7" wp14:editId="7BF299EF">
                  <wp:extent cx="895350" cy="326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69" cy="35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75CFC" w14:textId="77777777" w:rsidR="002220D5" w:rsidRDefault="002220D5" w:rsidP="002220D5">
            <w:pPr>
              <w:tabs>
                <w:tab w:val="left" w:pos="-720"/>
                <w:tab w:val="left" w:pos="5790"/>
              </w:tabs>
              <w:suppressAutoHyphens/>
              <w:rPr>
                <w:rFonts w:asciiTheme="majorHAnsi" w:hAnsiTheme="majorHAnsi" w:cstheme="majorHAnsi"/>
                <w:bCs/>
              </w:rPr>
            </w:pPr>
          </w:p>
          <w:p w14:paraId="79269FFB" w14:textId="3B16F6A8" w:rsidR="002220D5" w:rsidRDefault="002220D5" w:rsidP="002220D5">
            <w:pPr>
              <w:tabs>
                <w:tab w:val="left" w:pos="-720"/>
                <w:tab w:val="left" w:pos="5790"/>
              </w:tabs>
              <w:suppressAutoHyphens/>
            </w:pPr>
            <w:r w:rsidRPr="00D4232E">
              <w:rPr>
                <w:bCs/>
              </w:rPr>
              <w:t xml:space="preserve">Dr. </w:t>
            </w:r>
            <w:proofErr w:type="spellStart"/>
            <w:r w:rsidRPr="00D4232E">
              <w:rPr>
                <w:bCs/>
              </w:rPr>
              <w:t>Dewan</w:t>
            </w:r>
            <w:proofErr w:type="spellEnd"/>
            <w:r w:rsidRPr="00D4232E">
              <w:rPr>
                <w:bCs/>
              </w:rPr>
              <w:t xml:space="preserve"> Md. </w:t>
            </w:r>
            <w:proofErr w:type="spellStart"/>
            <w:r w:rsidRPr="00D4232E">
              <w:rPr>
                <w:bCs/>
              </w:rPr>
              <w:t>Emdadul</w:t>
            </w:r>
            <w:proofErr w:type="spellEnd"/>
            <w:r w:rsidRPr="00D4232E">
              <w:rPr>
                <w:bCs/>
              </w:rPr>
              <w:t xml:space="preserve"> </w:t>
            </w:r>
            <w:proofErr w:type="spellStart"/>
            <w:r w:rsidRPr="00D4232E">
              <w:rPr>
                <w:bCs/>
              </w:rPr>
              <w:t>Hoque</w:t>
            </w:r>
            <w:proofErr w:type="spellEnd"/>
            <w:r w:rsidRPr="00D4232E">
              <w:rPr>
                <w:bCs/>
              </w:rPr>
              <w:t>,</w:t>
            </w:r>
            <w:r w:rsidRPr="00D4232E">
              <w:t xml:space="preserve"> </w:t>
            </w:r>
            <w:r w:rsidRPr="00D4232E">
              <w:rPr>
                <w:bCs/>
              </w:rPr>
              <w:t>Health Systems Specialist, SRHR Unit            Date: 31 August 2021</w:t>
            </w:r>
          </w:p>
        </w:tc>
      </w:tr>
      <w:tr w:rsidR="00E37139" w:rsidRPr="000F21AA" w14:paraId="2AF249AE" w14:textId="77777777" w:rsidTr="00E37139">
        <w:trPr>
          <w:trHeight w:val="20"/>
        </w:trPr>
        <w:tc>
          <w:tcPr>
            <w:tcW w:w="99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E5D2901" w14:textId="77777777" w:rsidR="00E37139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Endorsed by:</w:t>
            </w:r>
          </w:p>
          <w:p w14:paraId="46FAD159" w14:textId="2DCC7269" w:rsidR="00E37139" w:rsidRDefault="00E37139" w:rsidP="00D033A3">
            <w:pPr>
              <w:tabs>
                <w:tab w:val="left" w:pos="-720"/>
              </w:tabs>
              <w:suppressAutoHyphens/>
            </w:pPr>
          </w:p>
          <w:p w14:paraId="174DF486" w14:textId="18070D06" w:rsidR="00E37139" w:rsidRDefault="00AB0015" w:rsidP="00D033A3">
            <w:pPr>
              <w:tabs>
                <w:tab w:val="left" w:pos="-720"/>
              </w:tabs>
              <w:suppressAutoHyphens/>
            </w:pPr>
            <w:r w:rsidRPr="003B6567">
              <w:rPr>
                <w:noProof/>
              </w:rPr>
              <w:drawing>
                <wp:inline distT="0" distB="0" distL="0" distR="0" wp14:anchorId="568B418D" wp14:editId="5CCBF872">
                  <wp:extent cx="1358900" cy="317500"/>
                  <wp:effectExtent l="0" t="0" r="0" b="6350"/>
                  <wp:docPr id="1" name="Picture 1" descr="C:\Users\raghuyamshi\Downloads\Signature file_Dr. Rag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ghuyamshi\Downloads\Signature file_Dr. Rag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E4C76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</w:p>
          <w:p w14:paraId="1F3E0FD6" w14:textId="07C363DE" w:rsidR="00E37139" w:rsidRPr="000F21AA" w:rsidRDefault="00E37139" w:rsidP="00D033A3">
            <w:pPr>
              <w:tabs>
                <w:tab w:val="left" w:pos="-720"/>
                <w:tab w:val="left" w:pos="5805"/>
                <w:tab w:val="left" w:pos="6362"/>
              </w:tabs>
              <w:suppressAutoHyphens/>
            </w:pPr>
            <w:r w:rsidRPr="000F21AA">
              <w:t xml:space="preserve">Dr. </w:t>
            </w:r>
            <w:proofErr w:type="spellStart"/>
            <w:r>
              <w:t>Vibbhavendra</w:t>
            </w:r>
            <w:proofErr w:type="spellEnd"/>
            <w:r>
              <w:t xml:space="preserve"> </w:t>
            </w:r>
            <w:proofErr w:type="spellStart"/>
            <w:r>
              <w:t>Raghuvanshi</w:t>
            </w:r>
            <w:proofErr w:type="spellEnd"/>
            <w:r w:rsidR="005E3BFF">
              <w:t>, Chief of Health ,</w:t>
            </w:r>
            <w:r w:rsidR="005E3BFF" w:rsidRPr="00D4232E">
              <w:rPr>
                <w:bCs/>
              </w:rPr>
              <w:t xml:space="preserve"> SRHR Unit            </w:t>
            </w:r>
            <w:r w:rsidR="005E3BFF">
              <w:t xml:space="preserve">                 </w:t>
            </w:r>
            <w:r w:rsidRPr="000F21AA">
              <w:t>Date:</w:t>
            </w:r>
            <w:r w:rsidR="00AB0015">
              <w:t xml:space="preserve"> 5 September 2021</w:t>
            </w:r>
          </w:p>
        </w:tc>
      </w:tr>
      <w:tr w:rsidR="00E37139" w:rsidRPr="000F21AA" w14:paraId="1016C165" w14:textId="77777777" w:rsidTr="00E37139">
        <w:trPr>
          <w:trHeight w:val="20"/>
        </w:trPr>
        <w:tc>
          <w:tcPr>
            <w:tcW w:w="99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C014FE2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Endorsed by:</w:t>
            </w:r>
          </w:p>
          <w:p w14:paraId="398338F5" w14:textId="0C75179E" w:rsidR="00E37139" w:rsidRPr="000F21AA" w:rsidRDefault="00D76B07" w:rsidP="00D033A3">
            <w:pPr>
              <w:tabs>
                <w:tab w:val="left" w:pos="-720"/>
              </w:tabs>
              <w:suppressAutoHyphens/>
            </w:pPr>
            <w:r>
              <w:rPr>
                <w:noProof/>
              </w:rPr>
              <w:drawing>
                <wp:inline distT="0" distB="0" distL="0" distR="0" wp14:anchorId="4535D1B6" wp14:editId="3CBB19EB">
                  <wp:extent cx="1917700" cy="270099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99" cy="31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113F0" w14:textId="58A3132B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2D215A">
              <w:rPr>
                <w:rFonts w:eastAsia="Calibri"/>
              </w:rPr>
              <w:t xml:space="preserve">Al Masum, Acting, Operational Manager                                                                     </w:t>
            </w:r>
            <w:r>
              <w:t>Date</w:t>
            </w:r>
            <w:r w:rsidR="00D76B07">
              <w:t>: 5 September 2021</w:t>
            </w:r>
          </w:p>
        </w:tc>
      </w:tr>
      <w:tr w:rsidR="00E37139" w:rsidRPr="000F21AA" w14:paraId="273A22CB" w14:textId="77777777" w:rsidTr="00E37139">
        <w:trPr>
          <w:trHeight w:val="1880"/>
        </w:trPr>
        <w:tc>
          <w:tcPr>
            <w:tcW w:w="99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406060C" w14:textId="77777777" w:rsidR="00E37139" w:rsidRPr="000F21AA" w:rsidRDefault="00E37139" w:rsidP="00D033A3">
            <w:pPr>
              <w:tabs>
                <w:tab w:val="left" w:pos="-720"/>
              </w:tabs>
              <w:suppressAutoHyphens/>
            </w:pPr>
            <w:r w:rsidRPr="000F21AA">
              <w:t>Approved by:</w:t>
            </w:r>
          </w:p>
          <w:p w14:paraId="0622E9B5" w14:textId="6CB9049D" w:rsidR="00E37139" w:rsidRPr="000F21AA" w:rsidRDefault="00E37139" w:rsidP="00D033A3">
            <w:pPr>
              <w:tabs>
                <w:tab w:val="left" w:pos="-720"/>
              </w:tabs>
              <w:suppressAutoHyphens/>
            </w:pPr>
          </w:p>
          <w:p w14:paraId="046C7516" w14:textId="431FB912" w:rsidR="00E37139" w:rsidRPr="000F21AA" w:rsidRDefault="009D6558" w:rsidP="00D033A3">
            <w:pPr>
              <w:tabs>
                <w:tab w:val="left" w:pos="-720"/>
              </w:tabs>
              <w:suppressAutoHyphens/>
            </w:pPr>
            <w:r>
              <w:object w:dxaOrig="2595" w:dyaOrig="690" w14:anchorId="34EB54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pt;height:34.5pt" o:ole="">
                  <v:imagedata r:id="rId12" o:title=""/>
                </v:shape>
                <o:OLEObject Type="Embed" ProgID="PBrush" ShapeID="_x0000_i1025" DrawAspect="Content" ObjectID="_1692617612" r:id="rId13"/>
              </w:object>
            </w:r>
          </w:p>
          <w:p w14:paraId="4FD48689" w14:textId="753B15BC" w:rsidR="00E37139" w:rsidRPr="000F21AA" w:rsidRDefault="00E37139" w:rsidP="00E37139">
            <w:pPr>
              <w:tabs>
                <w:tab w:val="left" w:pos="-720"/>
              </w:tabs>
              <w:suppressAutoHyphens/>
            </w:pPr>
            <w:r w:rsidRPr="000F21AA">
              <w:t>Dr. Asa Torkelsson, UNFPA Representative</w:t>
            </w:r>
            <w:r w:rsidRPr="000F21AA">
              <w:tab/>
            </w:r>
            <w:r w:rsidRPr="000F21AA">
              <w:tab/>
            </w:r>
            <w:r>
              <w:t xml:space="preserve">                                     Date</w:t>
            </w:r>
            <w:r w:rsidR="009D6558">
              <w:t xml:space="preserve"> 5 Sept 2021</w:t>
            </w:r>
          </w:p>
        </w:tc>
      </w:tr>
    </w:tbl>
    <w:p w14:paraId="02A55CDE" w14:textId="77777777" w:rsidR="000E1340" w:rsidRDefault="000E1340">
      <w:pPr>
        <w:spacing w:before="2"/>
        <w:rPr>
          <w:b/>
          <w:sz w:val="7"/>
        </w:rPr>
      </w:pPr>
    </w:p>
    <w:p w14:paraId="5EDA99B0" w14:textId="77777777" w:rsidR="00334058" w:rsidRDefault="00334058"/>
    <w:sectPr w:rsidR="00334058">
      <w:headerReference w:type="default" r:id="rId14"/>
      <w:pgSz w:w="11910" w:h="16840"/>
      <w:pgMar w:top="1340" w:right="800" w:bottom="280" w:left="840" w:header="3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A9F4" w14:textId="77777777" w:rsidR="00FD7D76" w:rsidRDefault="00FD7D76">
      <w:r>
        <w:separator/>
      </w:r>
    </w:p>
  </w:endnote>
  <w:endnote w:type="continuationSeparator" w:id="0">
    <w:p w14:paraId="13767C9D" w14:textId="77777777" w:rsidR="00FD7D76" w:rsidRDefault="00F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D3941" w14:textId="77777777" w:rsidR="00FD7D76" w:rsidRDefault="00FD7D76">
      <w:r>
        <w:separator/>
      </w:r>
    </w:p>
  </w:footnote>
  <w:footnote w:type="continuationSeparator" w:id="0">
    <w:p w14:paraId="3B6C8EB5" w14:textId="77777777" w:rsidR="00FD7D76" w:rsidRDefault="00F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F320" w14:textId="77777777" w:rsidR="000E1340" w:rsidRDefault="0033405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44FFFCC" wp14:editId="6C152D84">
          <wp:simplePos x="0" y="0"/>
          <wp:positionH relativeFrom="page">
            <wp:posOffset>273383</wp:posOffset>
          </wp:positionH>
          <wp:positionV relativeFrom="page">
            <wp:posOffset>244763</wp:posOffset>
          </wp:positionV>
          <wp:extent cx="1026681" cy="481878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681" cy="481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4DD"/>
    <w:multiLevelType w:val="hybridMultilevel"/>
    <w:tmpl w:val="6E6A3C84"/>
    <w:lvl w:ilvl="0" w:tplc="17A444D2">
      <w:numFmt w:val="bullet"/>
      <w:lvlText w:val="●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0414D0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E75EA438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87E278D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4" w:tplc="5E94ED06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 w:tplc="97F4D65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19402D8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7" w:tplc="6E1A74C4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 w:tplc="1E8A12BA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D548A3"/>
    <w:multiLevelType w:val="hybridMultilevel"/>
    <w:tmpl w:val="9AD8EF44"/>
    <w:lvl w:ilvl="0" w:tplc="C42AFD3E">
      <w:start w:val="1"/>
      <w:numFmt w:val="decimal"/>
      <w:lvlText w:val="%1."/>
      <w:lvlJc w:val="left"/>
      <w:pPr>
        <w:ind w:left="5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F6E090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36697C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3" w:tplc="4D0C1BD6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4" w:tplc="5612767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5" w:tplc="360A987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86D87D5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7" w:tplc="10526A9E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8" w:tplc="A57E4F52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B100E6"/>
    <w:multiLevelType w:val="hybridMultilevel"/>
    <w:tmpl w:val="3FFCF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406E4"/>
    <w:multiLevelType w:val="multilevel"/>
    <w:tmpl w:val="01AEAD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BFC6F82"/>
    <w:multiLevelType w:val="hybridMultilevel"/>
    <w:tmpl w:val="25EACB14"/>
    <w:lvl w:ilvl="0" w:tplc="32FEBC1E">
      <w:numFmt w:val="bullet"/>
      <w:lvlText w:val="●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0A85288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B8B216C8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7E16826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4" w:tplc="3DB6B9DC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 w:tplc="A7CA855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28A0F43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7" w:tplc="8828D8F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 w:tplc="673E3AE0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BB3295"/>
    <w:multiLevelType w:val="hybridMultilevel"/>
    <w:tmpl w:val="63764312"/>
    <w:lvl w:ilvl="0" w:tplc="98DA679A">
      <w:numFmt w:val="bullet"/>
      <w:lvlText w:val="●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1EE5A12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D6BC90B2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3" w:tplc="6AD2585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4" w:tplc="6D3CFF44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5" w:tplc="8276814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CD5AB4DC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7" w:tplc="FAD8E49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8" w:tplc="B5702F1C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40"/>
    <w:rsid w:val="00036EE4"/>
    <w:rsid w:val="000617AF"/>
    <w:rsid w:val="000E1340"/>
    <w:rsid w:val="001339F5"/>
    <w:rsid w:val="00160484"/>
    <w:rsid w:val="001856B7"/>
    <w:rsid w:val="001E43D6"/>
    <w:rsid w:val="002220D5"/>
    <w:rsid w:val="00226E2F"/>
    <w:rsid w:val="002A6484"/>
    <w:rsid w:val="002D215A"/>
    <w:rsid w:val="00334058"/>
    <w:rsid w:val="004745A5"/>
    <w:rsid w:val="00485D9B"/>
    <w:rsid w:val="0049101A"/>
    <w:rsid w:val="004C0A09"/>
    <w:rsid w:val="00537DD9"/>
    <w:rsid w:val="005E3BFF"/>
    <w:rsid w:val="00741A34"/>
    <w:rsid w:val="0076302A"/>
    <w:rsid w:val="007F09B7"/>
    <w:rsid w:val="008273D9"/>
    <w:rsid w:val="00866757"/>
    <w:rsid w:val="008E3AB3"/>
    <w:rsid w:val="00915617"/>
    <w:rsid w:val="009577CF"/>
    <w:rsid w:val="009B2E3F"/>
    <w:rsid w:val="009D6558"/>
    <w:rsid w:val="00AA2023"/>
    <w:rsid w:val="00AB0015"/>
    <w:rsid w:val="00B4758C"/>
    <w:rsid w:val="00B53CC3"/>
    <w:rsid w:val="00B658A6"/>
    <w:rsid w:val="00BA490A"/>
    <w:rsid w:val="00CD002A"/>
    <w:rsid w:val="00D34735"/>
    <w:rsid w:val="00D4232E"/>
    <w:rsid w:val="00D76B07"/>
    <w:rsid w:val="00DA3D91"/>
    <w:rsid w:val="00DA50C6"/>
    <w:rsid w:val="00DB085E"/>
    <w:rsid w:val="00DB4DCA"/>
    <w:rsid w:val="00E37139"/>
    <w:rsid w:val="00E61A8E"/>
    <w:rsid w:val="00E85FC8"/>
    <w:rsid w:val="00F22245"/>
    <w:rsid w:val="00F353AD"/>
    <w:rsid w:val="00FA4522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7435"/>
  <w15:docId w15:val="{DB33B5E6-481C-4F2F-A81E-0E6D1C86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paragraph" w:styleId="Header">
    <w:name w:val="header"/>
    <w:basedOn w:val="Normal"/>
    <w:link w:val="HeaderChar"/>
    <w:uiPriority w:val="99"/>
    <w:unhideWhenUsed/>
    <w:rsid w:val="00E6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8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6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E37139"/>
    <w:pPr>
      <w:widowControl/>
      <w:autoSpaceDE/>
      <w:autoSpaceDN/>
      <w:spacing w:before="120"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omes@unfpa.or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70A0-AC7D-4A66-9305-8CC44F58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Rome, 23 October 2003</vt:lpstr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creator>Deborah Gimona</dc:creator>
  <cp:lastModifiedBy>Samira Kakon</cp:lastModifiedBy>
  <cp:revision>7</cp:revision>
  <dcterms:created xsi:type="dcterms:W3CDTF">2021-09-05T08:32:00Z</dcterms:created>
  <dcterms:modified xsi:type="dcterms:W3CDTF">2021-09-08T08:47:00Z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