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8D" w:rsidRDefault="0033318D">
      <w:pPr>
        <w:widowControl w:val="0"/>
        <w:pBdr>
          <w:top w:val="nil"/>
          <w:left w:val="nil"/>
          <w:bottom w:val="nil"/>
          <w:right w:val="nil"/>
          <w:between w:val="nil"/>
        </w:pBdr>
        <w:spacing w:line="276" w:lineRule="auto"/>
      </w:pPr>
    </w:p>
    <w:p w:rsidR="0033318D" w:rsidRDefault="0033318D">
      <w:pPr>
        <w:jc w:val="center"/>
        <w:rPr>
          <w:rFonts w:ascii="Calibri" w:eastAsia="Calibri" w:hAnsi="Calibri" w:cs="Calibri"/>
          <w:sz w:val="54"/>
          <w:szCs w:val="54"/>
        </w:rPr>
      </w:pPr>
    </w:p>
    <w:p w:rsidR="0033318D" w:rsidRDefault="00680499" w:rsidP="00342395">
      <w:pPr>
        <w:rPr>
          <w:rFonts w:ascii="Calibri" w:eastAsia="Calibri" w:hAnsi="Calibri" w:cs="Calibri"/>
          <w:sz w:val="22"/>
          <w:szCs w:val="22"/>
        </w:rPr>
      </w:pPr>
      <w:r>
        <w:rPr>
          <w:rFonts w:ascii="Calibri" w:eastAsia="Calibri" w:hAnsi="Calibri" w:cs="Calibri"/>
          <w:noProof/>
          <w:sz w:val="22"/>
          <w:szCs w:val="22"/>
          <w:lang w:val="en-US"/>
        </w:rPr>
        <w:drawing>
          <wp:inline distT="0" distB="0" distL="114300" distR="114300">
            <wp:extent cx="1337022" cy="461042"/>
            <wp:effectExtent l="0" t="0" r="0" b="0"/>
            <wp:docPr id="7" name="image2.png" descr="Go to Search Home"/>
            <wp:cNvGraphicFramePr/>
            <a:graphic xmlns:a="http://schemas.openxmlformats.org/drawingml/2006/main">
              <a:graphicData uri="http://schemas.openxmlformats.org/drawingml/2006/picture">
                <pic:pic xmlns:pic="http://schemas.openxmlformats.org/drawingml/2006/picture">
                  <pic:nvPicPr>
                    <pic:cNvPr id="0" name="image2.png" descr="Go to Search Home"/>
                    <pic:cNvPicPr preferRelativeResize="0"/>
                  </pic:nvPicPr>
                  <pic:blipFill>
                    <a:blip r:embed="rId9"/>
                    <a:srcRect/>
                    <a:stretch>
                      <a:fillRect/>
                    </a:stretch>
                  </pic:blipFill>
                  <pic:spPr>
                    <a:xfrm>
                      <a:off x="0" y="0"/>
                      <a:ext cx="1372057" cy="473123"/>
                    </a:xfrm>
                    <a:prstGeom prst="rect">
                      <a:avLst/>
                    </a:prstGeom>
                    <a:ln/>
                  </pic:spPr>
                </pic:pic>
              </a:graphicData>
            </a:graphic>
          </wp:inline>
        </w:drawing>
      </w:r>
    </w:p>
    <w:p w:rsidR="0033318D" w:rsidRDefault="00680499">
      <w:pPr>
        <w:jc w:val="center"/>
        <w:rPr>
          <w:rFonts w:ascii="Calibri" w:eastAsia="Calibri" w:hAnsi="Calibri" w:cs="Calibri"/>
          <w:b/>
          <w:sz w:val="28"/>
          <w:szCs w:val="28"/>
        </w:rPr>
      </w:pPr>
      <w:r>
        <w:rPr>
          <w:rFonts w:ascii="Calibri" w:eastAsia="Calibri" w:hAnsi="Calibri" w:cs="Calibri"/>
          <w:b/>
          <w:sz w:val="28"/>
          <w:szCs w:val="28"/>
        </w:rPr>
        <w:t xml:space="preserve">Term of References </w:t>
      </w:r>
      <w:r w:rsidR="005B31FB">
        <w:rPr>
          <w:rFonts w:ascii="Calibri" w:eastAsia="Calibri" w:hAnsi="Calibri" w:cs="Calibri"/>
          <w:b/>
          <w:sz w:val="28"/>
          <w:szCs w:val="28"/>
        </w:rPr>
        <w:t>for Gender</w:t>
      </w:r>
      <w:r w:rsidR="00DA4531" w:rsidRPr="00DA4531">
        <w:rPr>
          <w:rFonts w:ascii="Calibri" w:eastAsia="Calibri" w:hAnsi="Calibri" w:cs="Calibri"/>
          <w:b/>
          <w:sz w:val="28"/>
          <w:szCs w:val="28"/>
        </w:rPr>
        <w:t xml:space="preserve">, Age, Disability Inclusion and Localisation </w:t>
      </w:r>
    </w:p>
    <w:p w:rsidR="0033318D" w:rsidRDefault="00680499">
      <w:pPr>
        <w:jc w:val="center"/>
        <w:rPr>
          <w:rFonts w:ascii="Calibri" w:eastAsia="Calibri" w:hAnsi="Calibri" w:cs="Calibri"/>
          <w:b/>
          <w:sz w:val="28"/>
          <w:szCs w:val="28"/>
        </w:rPr>
      </w:pPr>
      <w:r>
        <w:rPr>
          <w:rFonts w:ascii="Calibri" w:eastAsia="Calibri" w:hAnsi="Calibri" w:cs="Calibri"/>
          <w:b/>
          <w:sz w:val="28"/>
          <w:szCs w:val="28"/>
        </w:rPr>
        <w:t>(Individual Consultant) for Cox’s bazar Sub Office</w:t>
      </w:r>
    </w:p>
    <w:p w:rsidR="0033318D" w:rsidRDefault="0033318D">
      <w:pPr>
        <w:jc w:val="center"/>
        <w:rPr>
          <w:rFonts w:ascii="Calibri" w:eastAsia="Calibri" w:hAnsi="Calibri" w:cs="Calibri"/>
          <w:b/>
          <w:sz w:val="22"/>
          <w:szCs w:val="22"/>
        </w:rPr>
      </w:pPr>
    </w:p>
    <w:tbl>
      <w:tblPr>
        <w:tblStyle w:val="a0"/>
        <w:tblW w:w="9838" w:type="dxa"/>
        <w:tblInd w:w="-216" w:type="dxa"/>
        <w:tblLayout w:type="fixed"/>
        <w:tblLook w:val="0000" w:firstRow="0" w:lastRow="0" w:firstColumn="0" w:lastColumn="0" w:noHBand="0" w:noVBand="0"/>
      </w:tblPr>
      <w:tblGrid>
        <w:gridCol w:w="2278"/>
        <w:gridCol w:w="7560"/>
      </w:tblGrid>
      <w:tr w:rsidR="0033318D">
        <w:trPr>
          <w:trHeight w:val="23"/>
        </w:trPr>
        <w:tc>
          <w:tcPr>
            <w:tcW w:w="9838" w:type="dxa"/>
            <w:gridSpan w:val="2"/>
            <w:tcBorders>
              <w:top w:val="single" w:sz="6" w:space="0" w:color="000000"/>
              <w:left w:val="single" w:sz="6" w:space="0" w:color="000000"/>
              <w:bottom w:val="single" w:sz="6" w:space="0" w:color="000000"/>
              <w:right w:val="single" w:sz="6" w:space="0" w:color="000000"/>
            </w:tcBorders>
            <w:shd w:val="clear" w:color="auto" w:fill="E6E6E6"/>
          </w:tcPr>
          <w:p w:rsidR="0033318D" w:rsidRDefault="00680499">
            <w:pPr>
              <w:tabs>
                <w:tab w:val="left" w:pos="-720"/>
              </w:tabs>
              <w:spacing w:before="109" w:after="54"/>
              <w:rPr>
                <w:rFonts w:ascii="Calibri" w:eastAsia="Calibri" w:hAnsi="Calibri" w:cs="Calibri"/>
                <w:sz w:val="22"/>
                <w:szCs w:val="22"/>
              </w:rPr>
            </w:pPr>
            <w:r>
              <w:rPr>
                <w:rFonts w:ascii="Calibri" w:eastAsia="Calibri" w:hAnsi="Calibri" w:cs="Calibri"/>
                <w:b/>
                <w:sz w:val="22"/>
                <w:szCs w:val="22"/>
              </w:rPr>
              <w:t>TERMS OF REFERENCE  (to be completed by Hiring Office)</w:t>
            </w:r>
          </w:p>
        </w:tc>
      </w:tr>
      <w:tr w:rsidR="0033318D" w:rsidTr="00E227D0">
        <w:trPr>
          <w:trHeight w:val="63"/>
        </w:trPr>
        <w:tc>
          <w:tcPr>
            <w:tcW w:w="2278" w:type="dxa"/>
            <w:tcBorders>
              <w:top w:val="single" w:sz="6" w:space="0" w:color="000000"/>
              <w:left w:val="single" w:sz="6" w:space="0" w:color="000000"/>
              <w:bottom w:val="single" w:sz="4" w:space="0" w:color="000000"/>
            </w:tcBorders>
          </w:tcPr>
          <w:p w:rsidR="0033318D" w:rsidRDefault="00680499">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t>Hiring Office:</w:t>
            </w:r>
          </w:p>
        </w:tc>
        <w:tc>
          <w:tcPr>
            <w:tcW w:w="7560" w:type="dxa"/>
            <w:tcBorders>
              <w:top w:val="single" w:sz="6" w:space="0" w:color="000000"/>
              <w:left w:val="single" w:sz="6" w:space="0" w:color="000000"/>
              <w:bottom w:val="single" w:sz="4" w:space="0" w:color="000000"/>
              <w:right w:val="single" w:sz="6" w:space="0" w:color="000000"/>
            </w:tcBorders>
          </w:tcPr>
          <w:p w:rsidR="0033318D" w:rsidRDefault="00680499">
            <w:pPr>
              <w:tabs>
                <w:tab w:val="left" w:pos="-720"/>
              </w:tabs>
              <w:spacing w:before="40" w:after="54" w:line="276" w:lineRule="auto"/>
              <w:rPr>
                <w:rFonts w:ascii="Calibri" w:eastAsia="Calibri" w:hAnsi="Calibri" w:cs="Calibri"/>
                <w:sz w:val="22"/>
                <w:szCs w:val="22"/>
                <w:highlight w:val="yellow"/>
              </w:rPr>
            </w:pPr>
            <w:r>
              <w:rPr>
                <w:rFonts w:ascii="Calibri" w:eastAsia="Calibri" w:hAnsi="Calibri" w:cs="Calibri"/>
                <w:sz w:val="22"/>
                <w:szCs w:val="22"/>
              </w:rPr>
              <w:t xml:space="preserve">UNFPA- Cox’s Bazar Sub Office </w:t>
            </w:r>
          </w:p>
        </w:tc>
      </w:tr>
      <w:tr w:rsidR="0033318D" w:rsidTr="00E227D0">
        <w:trPr>
          <w:trHeight w:val="179"/>
        </w:trPr>
        <w:tc>
          <w:tcPr>
            <w:tcW w:w="2278" w:type="dxa"/>
            <w:tcBorders>
              <w:top w:val="single" w:sz="6" w:space="0" w:color="000000"/>
              <w:left w:val="single" w:sz="6" w:space="0" w:color="000000"/>
              <w:bottom w:val="single" w:sz="6" w:space="0" w:color="000000"/>
            </w:tcBorders>
          </w:tcPr>
          <w:p w:rsidR="0033318D" w:rsidRDefault="00680499">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t>Purpose of consultancy:</w:t>
            </w:r>
          </w:p>
        </w:tc>
        <w:tc>
          <w:tcPr>
            <w:tcW w:w="7560" w:type="dxa"/>
            <w:tcBorders>
              <w:top w:val="single" w:sz="6" w:space="0" w:color="000000"/>
              <w:left w:val="single" w:sz="6" w:space="0" w:color="000000"/>
              <w:bottom w:val="single" w:sz="6" w:space="0" w:color="000000"/>
              <w:right w:val="single" w:sz="6" w:space="0" w:color="000000"/>
            </w:tcBorders>
          </w:tcPr>
          <w:p w:rsidR="0033318D" w:rsidRDefault="00DA4531">
            <w:pPr>
              <w:spacing w:line="276" w:lineRule="auto"/>
              <w:jc w:val="both"/>
              <w:rPr>
                <w:rFonts w:ascii="Calibri" w:eastAsia="Calibri" w:hAnsi="Calibri" w:cs="Calibri"/>
                <w:sz w:val="22"/>
                <w:szCs w:val="22"/>
              </w:rPr>
            </w:pPr>
            <w:r w:rsidRPr="00DA4531">
              <w:rPr>
                <w:rFonts w:ascii="Calibri" w:eastAsia="Calibri" w:hAnsi="Calibri" w:cs="Calibri"/>
                <w:sz w:val="22"/>
                <w:szCs w:val="22"/>
              </w:rPr>
              <w:t>The Disability Inclusion Consultant is located in the UNFPA Cox’s Bazar Sub-Office and directly reports to the Head of Sub Office to support all units in disability inclusion in the units for technical, program</w:t>
            </w:r>
            <w:r>
              <w:rPr>
                <w:rFonts w:ascii="Calibri" w:eastAsia="Calibri" w:hAnsi="Calibri" w:cs="Calibri"/>
                <w:sz w:val="22"/>
                <w:szCs w:val="22"/>
              </w:rPr>
              <w:t xml:space="preserve">matic and reporting activities. </w:t>
            </w:r>
          </w:p>
          <w:p w:rsidR="003A2F2C" w:rsidRPr="00DA4531" w:rsidRDefault="003A2F2C" w:rsidP="003A2F2C">
            <w:pPr>
              <w:pBdr>
                <w:top w:val="nil"/>
                <w:left w:val="nil"/>
                <w:bottom w:val="nil"/>
                <w:right w:val="nil"/>
                <w:between w:val="nil"/>
              </w:pBdr>
              <w:spacing w:line="276" w:lineRule="auto"/>
              <w:jc w:val="both"/>
              <w:rPr>
                <w:rFonts w:ascii="Calibri" w:eastAsia="Calibri" w:hAnsi="Calibri" w:cs="Calibri"/>
                <w:color w:val="000000"/>
                <w:sz w:val="22"/>
                <w:szCs w:val="22"/>
              </w:rPr>
            </w:pPr>
            <w:r w:rsidRPr="00DA4531">
              <w:rPr>
                <w:rFonts w:ascii="Calibri" w:eastAsia="Calibri" w:hAnsi="Calibri" w:cs="Calibri"/>
                <w:color w:val="000000"/>
                <w:sz w:val="22"/>
                <w:szCs w:val="22"/>
              </w:rPr>
              <w:t xml:space="preserve">UNFPA has been implementing programs supporting the </w:t>
            </w:r>
            <w:proofErr w:type="spellStart"/>
            <w:r w:rsidRPr="00DA4531">
              <w:rPr>
                <w:rFonts w:ascii="Calibri" w:eastAsia="Calibri" w:hAnsi="Calibri" w:cs="Calibri"/>
                <w:color w:val="000000"/>
                <w:sz w:val="22"/>
                <w:szCs w:val="22"/>
              </w:rPr>
              <w:t>Rohingya</w:t>
            </w:r>
            <w:proofErr w:type="spellEnd"/>
            <w:r w:rsidRPr="00DA4531">
              <w:rPr>
                <w:rFonts w:ascii="Calibri" w:eastAsia="Calibri" w:hAnsi="Calibri" w:cs="Calibri"/>
                <w:color w:val="000000"/>
                <w:sz w:val="22"/>
                <w:szCs w:val="22"/>
              </w:rPr>
              <w:t xml:space="preserve"> people from the beginning of the humanitarian crisis. UNFPA supports the sexual and reproductive health (SRH) activities within the camps and the host communities, Gender Based Violence (GBV) interventions through Women Friendly Spaces and Women Led Community Centres. UNFPA promotes life skills amongst adolescent boys and girls through the provision of structured sessions on gender, SRHR, conflict resolution, safety, social and emotional skills, among other top</w:t>
            </w:r>
            <w:r w:rsidR="002A430B">
              <w:rPr>
                <w:rFonts w:ascii="Calibri" w:eastAsia="Calibri" w:hAnsi="Calibri" w:cs="Calibri"/>
                <w:color w:val="000000"/>
                <w:sz w:val="22"/>
                <w:szCs w:val="22"/>
              </w:rPr>
              <w:t xml:space="preserve">ics. </w:t>
            </w:r>
            <w:r w:rsidRPr="00DA4531">
              <w:rPr>
                <w:rFonts w:ascii="Calibri" w:eastAsia="Calibri" w:hAnsi="Calibri" w:cs="Calibri"/>
                <w:color w:val="000000"/>
                <w:sz w:val="22"/>
                <w:szCs w:val="22"/>
              </w:rPr>
              <w:t>In addition, UNFPA coordinates GBV sub Sector, leads Sexual and Reproductive Health Working Group and co-chairs Youth Working Group, three platforms which gather many government and non-governmental actors active in these fields, making sure that they do not overlap but work together to leverage resources, both human and financial to maximize the impact of its work.</w:t>
            </w:r>
          </w:p>
          <w:p w:rsidR="003A2F2C" w:rsidRPr="00DA4531" w:rsidRDefault="003A2F2C" w:rsidP="003A2F2C">
            <w:pPr>
              <w:pBdr>
                <w:top w:val="nil"/>
                <w:left w:val="nil"/>
                <w:bottom w:val="nil"/>
                <w:right w:val="nil"/>
                <w:between w:val="nil"/>
              </w:pBdr>
              <w:spacing w:line="276" w:lineRule="auto"/>
              <w:jc w:val="both"/>
              <w:rPr>
                <w:rFonts w:ascii="Calibri" w:eastAsia="Calibri" w:hAnsi="Calibri" w:cs="Calibri"/>
                <w:color w:val="000000"/>
                <w:sz w:val="22"/>
                <w:szCs w:val="22"/>
              </w:rPr>
            </w:pPr>
            <w:r w:rsidRPr="00DA4531">
              <w:rPr>
                <w:rFonts w:ascii="Calibri" w:eastAsia="Calibri" w:hAnsi="Calibri" w:cs="Calibri"/>
                <w:color w:val="000000"/>
                <w:sz w:val="22"/>
                <w:szCs w:val="22"/>
              </w:rPr>
              <w:t>While UNFPA and its implementing partners (IPs) strive to ensure that all women and girls equally access to appropriate services according to their age appropriate and gender sensitive needs, women and girls with disability status face greater barriers in accessing se</w:t>
            </w:r>
            <w:r>
              <w:rPr>
                <w:rFonts w:ascii="Calibri" w:eastAsia="Calibri" w:hAnsi="Calibri" w:cs="Calibri"/>
                <w:color w:val="000000"/>
                <w:sz w:val="22"/>
                <w:szCs w:val="22"/>
              </w:rPr>
              <w:t xml:space="preserve">rvices. These challenges may be </w:t>
            </w:r>
            <w:r w:rsidRPr="00DA4531">
              <w:rPr>
                <w:rFonts w:ascii="Calibri" w:eastAsia="Calibri" w:hAnsi="Calibri" w:cs="Calibri"/>
                <w:color w:val="000000"/>
                <w:sz w:val="22"/>
                <w:szCs w:val="22"/>
              </w:rPr>
              <w:t>physical (camp topography, infrastructure, facility layout) as well as based on social and discriminatory gender norms (cultural practices and beliefs, protection concerns, stigmatization).</w:t>
            </w:r>
          </w:p>
          <w:p w:rsidR="003A2F2C" w:rsidRDefault="002A430B" w:rsidP="003A2F2C">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The purpose of this consultancy is three-fold.</w:t>
            </w:r>
            <w:r w:rsidR="003A2F2C" w:rsidRPr="00DA4531">
              <w:rPr>
                <w:rFonts w:ascii="Calibri" w:eastAsia="Calibri" w:hAnsi="Calibri" w:cs="Calibri"/>
                <w:color w:val="000000"/>
                <w:sz w:val="22"/>
                <w:szCs w:val="22"/>
              </w:rPr>
              <w:t xml:space="preserve"> </w:t>
            </w:r>
            <w:r>
              <w:rPr>
                <w:rFonts w:ascii="Calibri" w:eastAsia="Calibri" w:hAnsi="Calibri" w:cs="Calibri"/>
                <w:color w:val="000000"/>
                <w:sz w:val="22"/>
                <w:szCs w:val="22"/>
              </w:rPr>
              <w:t>F</w:t>
            </w:r>
            <w:r w:rsidR="003A2F2C" w:rsidRPr="00DA4531">
              <w:rPr>
                <w:rFonts w:ascii="Calibri" w:eastAsia="Calibri" w:hAnsi="Calibri" w:cs="Calibri"/>
                <w:color w:val="000000"/>
                <w:sz w:val="22"/>
                <w:szCs w:val="22"/>
              </w:rPr>
              <w:t>irst, understand the gaps and opportunities for disability inclusion in UNFPA programming and reporting progress based on tailored</w:t>
            </w:r>
            <w:r>
              <w:rPr>
                <w:rFonts w:ascii="Calibri" w:eastAsia="Calibri" w:hAnsi="Calibri" w:cs="Calibri"/>
                <w:color w:val="000000"/>
                <w:sz w:val="22"/>
                <w:szCs w:val="22"/>
              </w:rPr>
              <w:t xml:space="preserve"> activities or increased access </w:t>
            </w:r>
            <w:r w:rsidR="003A2F2C" w:rsidRPr="00DA4531">
              <w:rPr>
                <w:rFonts w:ascii="Calibri" w:eastAsia="Calibri" w:hAnsi="Calibri" w:cs="Calibri"/>
                <w:color w:val="000000"/>
                <w:sz w:val="22"/>
                <w:szCs w:val="22"/>
              </w:rPr>
              <w:t>to services by women and</w:t>
            </w:r>
            <w:r>
              <w:rPr>
                <w:rFonts w:ascii="Calibri" w:eastAsia="Calibri" w:hAnsi="Calibri" w:cs="Calibri"/>
                <w:color w:val="000000"/>
                <w:sz w:val="22"/>
                <w:szCs w:val="22"/>
              </w:rPr>
              <w:t xml:space="preserve"> girls living with disabilities.</w:t>
            </w:r>
            <w:r w:rsidR="003A2F2C" w:rsidRPr="00DA4531">
              <w:rPr>
                <w:rFonts w:ascii="Calibri" w:eastAsia="Calibri" w:hAnsi="Calibri" w:cs="Calibri"/>
                <w:color w:val="000000"/>
                <w:sz w:val="22"/>
                <w:szCs w:val="22"/>
              </w:rPr>
              <w:t xml:space="preserve"> </w:t>
            </w:r>
            <w:r>
              <w:rPr>
                <w:rFonts w:ascii="Calibri" w:eastAsia="Calibri" w:hAnsi="Calibri" w:cs="Calibri"/>
                <w:color w:val="000000"/>
                <w:sz w:val="22"/>
                <w:szCs w:val="22"/>
              </w:rPr>
              <w:t>S</w:t>
            </w:r>
            <w:r w:rsidR="003A2F2C" w:rsidRPr="00DA4531">
              <w:rPr>
                <w:rFonts w:ascii="Calibri" w:eastAsia="Calibri" w:hAnsi="Calibri" w:cs="Calibri"/>
                <w:color w:val="000000"/>
                <w:sz w:val="22"/>
                <w:szCs w:val="22"/>
              </w:rPr>
              <w:t xml:space="preserve">econd, in the camps and host community undertake a mapping of all services that </w:t>
            </w:r>
            <w:proofErr w:type="gramStart"/>
            <w:r w:rsidR="003A2F2C" w:rsidRPr="00DA4531">
              <w:rPr>
                <w:rFonts w:ascii="Calibri" w:eastAsia="Calibri" w:hAnsi="Calibri" w:cs="Calibri"/>
                <w:color w:val="000000"/>
                <w:sz w:val="22"/>
                <w:szCs w:val="22"/>
              </w:rPr>
              <w:t>may/may not be used</w:t>
            </w:r>
            <w:proofErr w:type="gramEnd"/>
            <w:r w:rsidR="003A2F2C" w:rsidRPr="00DA4531">
              <w:rPr>
                <w:rFonts w:ascii="Calibri" w:eastAsia="Calibri" w:hAnsi="Calibri" w:cs="Calibri"/>
                <w:color w:val="000000"/>
                <w:sz w:val="22"/>
                <w:szCs w:val="22"/>
              </w:rPr>
              <w:t xml:space="preserve"> by peop</w:t>
            </w:r>
            <w:r w:rsidR="003A2F2C">
              <w:rPr>
                <w:rFonts w:ascii="Calibri" w:eastAsia="Calibri" w:hAnsi="Calibri" w:cs="Calibri"/>
                <w:color w:val="000000"/>
                <w:sz w:val="22"/>
                <w:szCs w:val="22"/>
              </w:rPr>
              <w:t xml:space="preserve">le with disabilities, including </w:t>
            </w:r>
            <w:r w:rsidR="003A2F2C" w:rsidRPr="00DA4531">
              <w:rPr>
                <w:rFonts w:ascii="Calibri" w:eastAsia="Calibri" w:hAnsi="Calibri" w:cs="Calibri"/>
                <w:color w:val="000000"/>
                <w:sz w:val="22"/>
                <w:szCs w:val="22"/>
              </w:rPr>
              <w:t>adolescents and youth with disabilities, and for what reasons —including entry points, barriers, and opportunities. This will include services provided by government, NGOs, CSOs, wo</w:t>
            </w:r>
            <w:r>
              <w:rPr>
                <w:rFonts w:ascii="Calibri" w:eastAsia="Calibri" w:hAnsi="Calibri" w:cs="Calibri"/>
                <w:color w:val="000000"/>
                <w:sz w:val="22"/>
                <w:szCs w:val="22"/>
              </w:rPr>
              <w:t>men and youth-led associations t</w:t>
            </w:r>
            <w:r w:rsidRPr="00DA4531">
              <w:rPr>
                <w:rFonts w:ascii="Calibri" w:eastAsia="Calibri" w:hAnsi="Calibri" w:cs="Calibri"/>
                <w:color w:val="000000"/>
                <w:sz w:val="22"/>
                <w:szCs w:val="22"/>
              </w:rPr>
              <w:t>o</w:t>
            </w:r>
            <w:r w:rsidR="003A2F2C" w:rsidRPr="00DA4531">
              <w:rPr>
                <w:rFonts w:ascii="Calibri" w:eastAsia="Calibri" w:hAnsi="Calibri" w:cs="Calibri"/>
                <w:color w:val="000000"/>
                <w:sz w:val="22"/>
                <w:szCs w:val="22"/>
              </w:rPr>
              <w:t xml:space="preserve"> understand the information and service opportunities and gaps on the themes covered in the systematic review. Thirdly, as GBV SS, SRHR WG</w:t>
            </w:r>
            <w:r w:rsidR="003A2F2C">
              <w:rPr>
                <w:rFonts w:ascii="Calibri" w:eastAsia="Calibri" w:hAnsi="Calibri" w:cs="Calibri"/>
                <w:color w:val="000000"/>
                <w:sz w:val="22"/>
                <w:szCs w:val="22"/>
              </w:rPr>
              <w:t xml:space="preserve"> and Youth WG </w:t>
            </w:r>
            <w:proofErr w:type="gramStart"/>
            <w:r w:rsidR="003A2F2C">
              <w:rPr>
                <w:rFonts w:ascii="Calibri" w:eastAsia="Calibri" w:hAnsi="Calibri" w:cs="Calibri"/>
                <w:color w:val="000000"/>
                <w:sz w:val="22"/>
                <w:szCs w:val="22"/>
              </w:rPr>
              <w:t>are led</w:t>
            </w:r>
            <w:proofErr w:type="gramEnd"/>
            <w:r w:rsidR="003A2F2C">
              <w:rPr>
                <w:rFonts w:ascii="Calibri" w:eastAsia="Calibri" w:hAnsi="Calibri" w:cs="Calibri"/>
                <w:color w:val="000000"/>
                <w:sz w:val="22"/>
                <w:szCs w:val="22"/>
              </w:rPr>
              <w:t xml:space="preserve"> or co led </w:t>
            </w:r>
            <w:r w:rsidR="003A2F2C" w:rsidRPr="00DA4531">
              <w:rPr>
                <w:rFonts w:ascii="Calibri" w:eastAsia="Calibri" w:hAnsi="Calibri" w:cs="Calibri"/>
                <w:color w:val="000000"/>
                <w:sz w:val="22"/>
                <w:szCs w:val="22"/>
              </w:rPr>
              <w:t xml:space="preserve">by UNFPA, support is needed to mainstream disabilities, age, and gender diversity issues in order to successfully coordinate and influence partners to prevent and address GBV with a gender-sensitive and age-appropriate survivor-centred approach to overcome </w:t>
            </w:r>
            <w:r w:rsidR="003A2F2C">
              <w:rPr>
                <w:rFonts w:ascii="Calibri" w:eastAsia="Calibri" w:hAnsi="Calibri" w:cs="Calibri"/>
                <w:color w:val="000000"/>
                <w:sz w:val="22"/>
                <w:szCs w:val="22"/>
              </w:rPr>
              <w:t xml:space="preserve">human rights and gender-related </w:t>
            </w:r>
            <w:r w:rsidR="003A2F2C" w:rsidRPr="00DA4531">
              <w:rPr>
                <w:rFonts w:ascii="Calibri" w:eastAsia="Calibri" w:hAnsi="Calibri" w:cs="Calibri"/>
                <w:color w:val="000000"/>
                <w:sz w:val="22"/>
                <w:szCs w:val="22"/>
              </w:rPr>
              <w:t>barriers to services.</w:t>
            </w:r>
          </w:p>
          <w:p w:rsidR="003A2F2C" w:rsidRPr="00342395" w:rsidRDefault="003A2F2C" w:rsidP="003A2F2C">
            <w:pPr>
              <w:pBdr>
                <w:top w:val="nil"/>
                <w:left w:val="nil"/>
                <w:bottom w:val="nil"/>
                <w:right w:val="nil"/>
                <w:between w:val="nil"/>
              </w:pBdr>
              <w:spacing w:line="276" w:lineRule="auto"/>
              <w:jc w:val="both"/>
              <w:rPr>
                <w:rFonts w:ascii="Calibri" w:eastAsia="Calibri" w:hAnsi="Calibri" w:cs="Calibri"/>
                <w:color w:val="000000"/>
                <w:sz w:val="16"/>
                <w:szCs w:val="16"/>
              </w:rPr>
            </w:pPr>
          </w:p>
          <w:p w:rsidR="003A2F2C" w:rsidRPr="003A2F2C" w:rsidRDefault="003A2F2C" w:rsidP="003A2F2C">
            <w:pPr>
              <w:pBdr>
                <w:top w:val="nil"/>
                <w:left w:val="nil"/>
                <w:bottom w:val="nil"/>
                <w:right w:val="nil"/>
                <w:between w:val="nil"/>
              </w:pBdr>
              <w:spacing w:line="276" w:lineRule="auto"/>
              <w:jc w:val="both"/>
              <w:rPr>
                <w:rFonts w:ascii="Calibri" w:eastAsia="Calibri" w:hAnsi="Calibri" w:cs="Calibri"/>
                <w:color w:val="000000"/>
                <w:sz w:val="22"/>
                <w:szCs w:val="22"/>
              </w:rPr>
            </w:pPr>
            <w:r w:rsidRPr="00DA4531">
              <w:rPr>
                <w:rFonts w:ascii="Calibri" w:eastAsia="Calibri" w:hAnsi="Calibri" w:cs="Calibri"/>
                <w:color w:val="000000"/>
                <w:sz w:val="22"/>
                <w:szCs w:val="22"/>
              </w:rPr>
              <w:t>The findings of the systematic review and mapping will help to inform the design of UNFPA</w:t>
            </w:r>
            <w:r>
              <w:rPr>
                <w:rFonts w:ascii="Calibri" w:eastAsia="Calibri" w:hAnsi="Calibri" w:cs="Calibri"/>
                <w:color w:val="000000"/>
                <w:sz w:val="22"/>
                <w:szCs w:val="22"/>
              </w:rPr>
              <w:t>’s interventions going forward.</w:t>
            </w:r>
          </w:p>
        </w:tc>
      </w:tr>
      <w:tr w:rsidR="0033318D" w:rsidTr="00E227D0">
        <w:trPr>
          <w:trHeight w:val="179"/>
        </w:trPr>
        <w:tc>
          <w:tcPr>
            <w:tcW w:w="2278" w:type="dxa"/>
            <w:tcBorders>
              <w:top w:val="single" w:sz="6" w:space="0" w:color="000000"/>
              <w:left w:val="single" w:sz="6" w:space="0" w:color="000000"/>
              <w:bottom w:val="single" w:sz="6" w:space="0" w:color="000000"/>
            </w:tcBorders>
          </w:tcPr>
          <w:p w:rsidR="0033318D" w:rsidRDefault="00680499">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lastRenderedPageBreak/>
              <w:t>Scope of work:</w:t>
            </w:r>
          </w:p>
          <w:p w:rsidR="0033318D" w:rsidRDefault="0033318D">
            <w:pPr>
              <w:tabs>
                <w:tab w:val="left" w:pos="-720"/>
              </w:tabs>
              <w:spacing w:before="40" w:after="54" w:line="276" w:lineRule="auto"/>
              <w:rPr>
                <w:rFonts w:ascii="Calibri" w:eastAsia="Calibri" w:hAnsi="Calibri" w:cs="Calibri"/>
                <w:sz w:val="22"/>
                <w:szCs w:val="22"/>
              </w:rPr>
            </w:pPr>
          </w:p>
          <w:p w:rsidR="0033318D" w:rsidRDefault="00680499">
            <w:pPr>
              <w:tabs>
                <w:tab w:val="left" w:pos="-720"/>
              </w:tabs>
              <w:spacing w:before="40" w:after="54" w:line="276" w:lineRule="auto"/>
              <w:rPr>
                <w:rFonts w:ascii="Calibri" w:eastAsia="Calibri" w:hAnsi="Calibri" w:cs="Calibri"/>
                <w:sz w:val="22"/>
                <w:szCs w:val="22"/>
              </w:rPr>
            </w:pPr>
            <w:r>
              <w:rPr>
                <w:rFonts w:ascii="Calibri" w:eastAsia="Calibri" w:hAnsi="Calibri" w:cs="Calibri"/>
                <w:i/>
                <w:sz w:val="22"/>
                <w:szCs w:val="22"/>
              </w:rPr>
              <w:t>(Description of services, activities, or outputs)</w:t>
            </w:r>
          </w:p>
        </w:tc>
        <w:tc>
          <w:tcPr>
            <w:tcW w:w="7560" w:type="dxa"/>
            <w:tcBorders>
              <w:top w:val="single" w:sz="6" w:space="0" w:color="000000"/>
              <w:left w:val="single" w:sz="6" w:space="0" w:color="000000"/>
              <w:bottom w:val="single" w:sz="6" w:space="0" w:color="000000"/>
              <w:right w:val="single" w:sz="6" w:space="0" w:color="000000"/>
            </w:tcBorders>
          </w:tcPr>
          <w:p w:rsidR="00DA4531" w:rsidRPr="00342395" w:rsidRDefault="00DA4531" w:rsidP="00DA4531">
            <w:pPr>
              <w:pBdr>
                <w:top w:val="nil"/>
                <w:left w:val="nil"/>
                <w:bottom w:val="nil"/>
                <w:right w:val="nil"/>
                <w:between w:val="nil"/>
              </w:pBdr>
              <w:spacing w:line="276" w:lineRule="auto"/>
              <w:jc w:val="both"/>
              <w:rPr>
                <w:rFonts w:ascii="Calibri" w:eastAsia="Calibri" w:hAnsi="Calibri" w:cs="Calibri"/>
                <w:b/>
                <w:color w:val="000000"/>
                <w:sz w:val="22"/>
                <w:szCs w:val="22"/>
              </w:rPr>
            </w:pPr>
            <w:r w:rsidRPr="00DA4531">
              <w:rPr>
                <w:rFonts w:ascii="Calibri" w:eastAsia="Calibri" w:hAnsi="Calibri" w:cs="Calibri"/>
                <w:b/>
                <w:color w:val="000000"/>
                <w:sz w:val="22"/>
                <w:szCs w:val="22"/>
              </w:rPr>
              <w:t>Duties and responsibilities:</w:t>
            </w:r>
          </w:p>
          <w:p w:rsidR="00DA4531" w:rsidRPr="00F86421" w:rsidRDefault="00DA4531" w:rsidP="00F86421">
            <w:pPr>
              <w:pStyle w:val="ListParagraph"/>
              <w:numPr>
                <w:ilvl w:val="0"/>
                <w:numId w:val="12"/>
              </w:numPr>
              <w:pBdr>
                <w:top w:val="nil"/>
                <w:left w:val="nil"/>
                <w:bottom w:val="nil"/>
                <w:right w:val="nil"/>
                <w:between w:val="nil"/>
              </w:pBdr>
              <w:spacing w:line="276" w:lineRule="auto"/>
              <w:jc w:val="both"/>
              <w:rPr>
                <w:rFonts w:ascii="Calibri" w:eastAsia="Calibri" w:hAnsi="Calibri" w:cs="Calibri"/>
                <w:color w:val="000000"/>
                <w:sz w:val="22"/>
                <w:szCs w:val="22"/>
              </w:rPr>
            </w:pPr>
            <w:r w:rsidRPr="00F86421">
              <w:rPr>
                <w:rFonts w:ascii="Calibri" w:eastAsia="Calibri" w:hAnsi="Calibri" w:cs="Calibri"/>
                <w:color w:val="000000"/>
                <w:sz w:val="22"/>
                <w:szCs w:val="22"/>
              </w:rPr>
              <w:t>Identify the (a) situation of the target group, (b) knowledge and lessons learnt in reference to women, adolescents, and youth with disabilities regarding SRH information and services, GBV, as well as life skills and life enhancement skills education</w:t>
            </w:r>
          </w:p>
          <w:p w:rsidR="00DA4531" w:rsidRPr="00F86421" w:rsidRDefault="00DA4531" w:rsidP="00F86421">
            <w:pPr>
              <w:pStyle w:val="ListParagraph"/>
              <w:numPr>
                <w:ilvl w:val="0"/>
                <w:numId w:val="12"/>
              </w:numPr>
              <w:pBdr>
                <w:top w:val="nil"/>
                <w:left w:val="nil"/>
                <w:bottom w:val="nil"/>
                <w:right w:val="nil"/>
                <w:between w:val="nil"/>
              </w:pBdr>
              <w:spacing w:line="276" w:lineRule="auto"/>
              <w:jc w:val="both"/>
              <w:rPr>
                <w:rFonts w:ascii="Calibri" w:eastAsia="Calibri" w:hAnsi="Calibri" w:cs="Calibri"/>
                <w:color w:val="000000"/>
                <w:sz w:val="22"/>
                <w:szCs w:val="22"/>
              </w:rPr>
            </w:pPr>
            <w:r w:rsidRPr="00F86421">
              <w:rPr>
                <w:rFonts w:ascii="Calibri" w:eastAsia="Calibri" w:hAnsi="Calibri" w:cs="Calibri"/>
                <w:color w:val="000000"/>
                <w:sz w:val="22"/>
                <w:szCs w:val="22"/>
              </w:rPr>
              <w:t xml:space="preserve">Give due emphasis to existing regional and global UNFPA Guidelines to ensure inclusive access to SRHR and GBV services for </w:t>
            </w:r>
            <w:r w:rsidR="00F86421" w:rsidRPr="00F86421">
              <w:rPr>
                <w:rFonts w:ascii="Calibri" w:eastAsia="Calibri" w:hAnsi="Calibri" w:cs="Calibri"/>
                <w:color w:val="000000"/>
                <w:sz w:val="22"/>
                <w:szCs w:val="22"/>
              </w:rPr>
              <w:t xml:space="preserve">women, </w:t>
            </w:r>
            <w:r w:rsidRPr="00F86421">
              <w:rPr>
                <w:rFonts w:ascii="Calibri" w:eastAsia="Calibri" w:hAnsi="Calibri" w:cs="Calibri"/>
                <w:color w:val="000000"/>
                <w:sz w:val="22"/>
                <w:szCs w:val="22"/>
              </w:rPr>
              <w:t>adolescents and youth with disabilities.</w:t>
            </w:r>
          </w:p>
          <w:p w:rsidR="00DA4531" w:rsidRPr="00F86421" w:rsidRDefault="00DA4531" w:rsidP="00F86421">
            <w:pPr>
              <w:pStyle w:val="ListParagraph"/>
              <w:numPr>
                <w:ilvl w:val="0"/>
                <w:numId w:val="12"/>
              </w:numPr>
              <w:pBdr>
                <w:top w:val="nil"/>
                <w:left w:val="nil"/>
                <w:bottom w:val="nil"/>
                <w:right w:val="nil"/>
                <w:between w:val="nil"/>
              </w:pBdr>
              <w:spacing w:line="276" w:lineRule="auto"/>
              <w:jc w:val="both"/>
              <w:rPr>
                <w:rFonts w:ascii="Calibri" w:eastAsia="Calibri" w:hAnsi="Calibri" w:cs="Calibri"/>
                <w:color w:val="000000"/>
                <w:sz w:val="22"/>
                <w:szCs w:val="22"/>
              </w:rPr>
            </w:pPr>
            <w:r w:rsidRPr="00F86421">
              <w:rPr>
                <w:rFonts w:ascii="Calibri" w:eastAsia="Calibri" w:hAnsi="Calibri" w:cs="Calibri"/>
                <w:color w:val="000000"/>
                <w:sz w:val="22"/>
                <w:szCs w:val="22"/>
              </w:rPr>
              <w:t xml:space="preserve">The systematic review will cover both the affected host communities and the </w:t>
            </w:r>
            <w:proofErr w:type="spellStart"/>
            <w:r w:rsidRPr="00F86421">
              <w:rPr>
                <w:rFonts w:ascii="Calibri" w:eastAsia="Calibri" w:hAnsi="Calibri" w:cs="Calibri"/>
                <w:color w:val="000000"/>
                <w:sz w:val="22"/>
                <w:szCs w:val="22"/>
              </w:rPr>
              <w:t>Rohingya</w:t>
            </w:r>
            <w:proofErr w:type="spellEnd"/>
            <w:r w:rsidRPr="00F86421">
              <w:rPr>
                <w:rFonts w:ascii="Calibri" w:eastAsia="Calibri" w:hAnsi="Calibri" w:cs="Calibri"/>
                <w:color w:val="000000"/>
                <w:sz w:val="22"/>
                <w:szCs w:val="22"/>
              </w:rPr>
              <w:t xml:space="preserve"> refugee camps. </w:t>
            </w:r>
          </w:p>
          <w:p w:rsidR="00DA4531" w:rsidRPr="00F86421" w:rsidRDefault="00DA4531" w:rsidP="00F86421">
            <w:pPr>
              <w:pStyle w:val="ListParagraph"/>
              <w:numPr>
                <w:ilvl w:val="0"/>
                <w:numId w:val="12"/>
              </w:numPr>
              <w:pBdr>
                <w:top w:val="nil"/>
                <w:left w:val="nil"/>
                <w:bottom w:val="nil"/>
                <w:right w:val="nil"/>
                <w:between w:val="nil"/>
              </w:pBdr>
              <w:spacing w:line="276" w:lineRule="auto"/>
              <w:jc w:val="both"/>
              <w:rPr>
                <w:rFonts w:ascii="Calibri" w:eastAsia="Calibri" w:hAnsi="Calibri" w:cs="Calibri"/>
                <w:color w:val="000000"/>
                <w:sz w:val="22"/>
                <w:szCs w:val="22"/>
              </w:rPr>
            </w:pPr>
            <w:r w:rsidRPr="00F86421">
              <w:rPr>
                <w:rFonts w:ascii="Calibri" w:eastAsia="Calibri" w:hAnsi="Calibri" w:cs="Calibri"/>
                <w:color w:val="000000"/>
                <w:sz w:val="22"/>
                <w:szCs w:val="22"/>
              </w:rPr>
              <w:t>Comprehensive mapping of services for women, adolescents, and youth with disabilities (government, non-government, civil society, and organizations) in the camps and in the host community</w:t>
            </w:r>
          </w:p>
          <w:p w:rsidR="00DA4531" w:rsidRPr="00F86421" w:rsidRDefault="00DA4531" w:rsidP="00F86421">
            <w:pPr>
              <w:pStyle w:val="ListParagraph"/>
              <w:numPr>
                <w:ilvl w:val="0"/>
                <w:numId w:val="12"/>
              </w:numPr>
              <w:pBdr>
                <w:top w:val="nil"/>
                <w:left w:val="nil"/>
                <w:bottom w:val="nil"/>
                <w:right w:val="nil"/>
                <w:between w:val="nil"/>
              </w:pBdr>
              <w:spacing w:line="276" w:lineRule="auto"/>
              <w:jc w:val="both"/>
              <w:rPr>
                <w:rFonts w:ascii="Calibri" w:eastAsia="Calibri" w:hAnsi="Calibri" w:cs="Calibri"/>
                <w:color w:val="000000"/>
                <w:sz w:val="22"/>
                <w:szCs w:val="22"/>
              </w:rPr>
            </w:pPr>
            <w:r w:rsidRPr="00F86421">
              <w:rPr>
                <w:rFonts w:ascii="Calibri" w:eastAsia="Calibri" w:hAnsi="Calibri" w:cs="Calibri"/>
                <w:color w:val="000000"/>
                <w:sz w:val="22"/>
                <w:szCs w:val="22"/>
              </w:rPr>
              <w:t xml:space="preserve">Identify the existing services, facilities and platforms to help determine the state/level of readiness to start or strengthen programming related to women and adolescents and youth with disabilities. This includes the strengths, barriers and bottlenecks, and other challenges and opportunities to access services, personnel, facilities, and platforms such as the women-friendly spaces and adolescent and youth friendly spaces/clubs, and women led community centres </w:t>
            </w:r>
          </w:p>
          <w:p w:rsidR="00DA4531" w:rsidRPr="00F86421" w:rsidRDefault="00DA4531" w:rsidP="00F86421">
            <w:pPr>
              <w:pStyle w:val="ListParagraph"/>
              <w:numPr>
                <w:ilvl w:val="0"/>
                <w:numId w:val="12"/>
              </w:numPr>
              <w:pBdr>
                <w:top w:val="nil"/>
                <w:left w:val="nil"/>
                <w:bottom w:val="nil"/>
                <w:right w:val="nil"/>
                <w:between w:val="nil"/>
              </w:pBdr>
              <w:spacing w:line="276" w:lineRule="auto"/>
              <w:jc w:val="both"/>
              <w:rPr>
                <w:rFonts w:ascii="Calibri" w:eastAsia="Calibri" w:hAnsi="Calibri" w:cs="Calibri"/>
                <w:color w:val="000000"/>
                <w:sz w:val="22"/>
                <w:szCs w:val="22"/>
              </w:rPr>
            </w:pPr>
            <w:r w:rsidRPr="00F86421">
              <w:rPr>
                <w:rFonts w:ascii="Calibri" w:eastAsia="Calibri" w:hAnsi="Calibri" w:cs="Calibri"/>
                <w:color w:val="000000"/>
                <w:sz w:val="22"/>
                <w:szCs w:val="22"/>
              </w:rPr>
              <w:t>Based on the ev</w:t>
            </w:r>
            <w:r w:rsidR="00F86421" w:rsidRPr="00F86421">
              <w:rPr>
                <w:rFonts w:ascii="Calibri" w:eastAsia="Calibri" w:hAnsi="Calibri" w:cs="Calibri"/>
                <w:color w:val="000000"/>
                <w:sz w:val="22"/>
                <w:szCs w:val="22"/>
              </w:rPr>
              <w:t xml:space="preserve">idence, produce practical guide women, </w:t>
            </w:r>
            <w:r w:rsidRPr="00F86421">
              <w:rPr>
                <w:rFonts w:ascii="Calibri" w:eastAsia="Calibri" w:hAnsi="Calibri" w:cs="Calibri"/>
                <w:color w:val="000000"/>
                <w:sz w:val="22"/>
                <w:szCs w:val="22"/>
              </w:rPr>
              <w:t>adolescent and youth friendly toolkit to increase the participation of women, adolescents, and youth with disabilities on the field using existing women-friendly spaces, adolescent and youth friendly spaces/corners, and mentorship skills</w:t>
            </w:r>
          </w:p>
          <w:p w:rsidR="00DA4531" w:rsidRPr="00F86421" w:rsidRDefault="00E227D0" w:rsidP="00F86421">
            <w:pPr>
              <w:pStyle w:val="ListParagraph"/>
              <w:numPr>
                <w:ilvl w:val="0"/>
                <w:numId w:val="1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w:t>
            </w:r>
            <w:r w:rsidR="00F86421" w:rsidRPr="00F86421">
              <w:rPr>
                <w:rFonts w:ascii="Calibri" w:eastAsia="Calibri" w:hAnsi="Calibri" w:cs="Calibri"/>
                <w:color w:val="000000"/>
                <w:sz w:val="22"/>
                <w:szCs w:val="22"/>
              </w:rPr>
              <w:t xml:space="preserve">evelop strategies </w:t>
            </w:r>
            <w:r w:rsidR="00DA4531" w:rsidRPr="00F86421">
              <w:rPr>
                <w:rFonts w:ascii="Calibri" w:eastAsia="Calibri" w:hAnsi="Calibri" w:cs="Calibri"/>
                <w:color w:val="000000"/>
                <w:sz w:val="22"/>
                <w:szCs w:val="22"/>
              </w:rPr>
              <w:t xml:space="preserve">as </w:t>
            </w:r>
            <w:r w:rsidR="00F86421" w:rsidRPr="00F86421">
              <w:rPr>
                <w:rFonts w:ascii="Calibri" w:eastAsia="Calibri" w:hAnsi="Calibri" w:cs="Calibri"/>
                <w:color w:val="000000"/>
                <w:sz w:val="22"/>
                <w:szCs w:val="22"/>
              </w:rPr>
              <w:t xml:space="preserve">far as is </w:t>
            </w:r>
            <w:r w:rsidR="00DA4531" w:rsidRPr="00F86421">
              <w:rPr>
                <w:rFonts w:ascii="Calibri" w:eastAsia="Calibri" w:hAnsi="Calibri" w:cs="Calibri"/>
                <w:color w:val="000000"/>
                <w:sz w:val="22"/>
                <w:szCs w:val="22"/>
              </w:rPr>
              <w:t xml:space="preserve">possible </w:t>
            </w:r>
            <w:r w:rsidR="00F86421" w:rsidRPr="00F86421">
              <w:rPr>
                <w:rFonts w:ascii="Calibri" w:eastAsia="Calibri" w:hAnsi="Calibri" w:cs="Calibri"/>
                <w:color w:val="000000"/>
                <w:sz w:val="22"/>
                <w:szCs w:val="22"/>
              </w:rPr>
              <w:t xml:space="preserve">to ensure the </w:t>
            </w:r>
            <w:r w:rsidR="00DA4531" w:rsidRPr="00F86421">
              <w:rPr>
                <w:rFonts w:ascii="Calibri" w:eastAsia="Calibri" w:hAnsi="Calibri" w:cs="Calibri"/>
                <w:color w:val="000000"/>
                <w:sz w:val="22"/>
                <w:szCs w:val="22"/>
              </w:rPr>
              <w:t>engage</w:t>
            </w:r>
            <w:r w:rsidR="00F86421" w:rsidRPr="00F86421">
              <w:rPr>
                <w:rFonts w:ascii="Calibri" w:eastAsia="Calibri" w:hAnsi="Calibri" w:cs="Calibri"/>
                <w:color w:val="000000"/>
                <w:sz w:val="22"/>
                <w:szCs w:val="22"/>
              </w:rPr>
              <w:t>ment of women</w:t>
            </w:r>
            <w:r w:rsidR="00DA4531" w:rsidRPr="00F86421">
              <w:rPr>
                <w:rFonts w:ascii="Calibri" w:eastAsia="Calibri" w:hAnsi="Calibri" w:cs="Calibri"/>
                <w:color w:val="000000"/>
                <w:sz w:val="22"/>
                <w:szCs w:val="22"/>
              </w:rPr>
              <w:t xml:space="preserve">, adolescents, and youth with disabilities </w:t>
            </w:r>
            <w:r w:rsidR="00F86421" w:rsidRPr="00F86421">
              <w:rPr>
                <w:rFonts w:ascii="Calibri" w:eastAsia="Calibri" w:hAnsi="Calibri" w:cs="Calibri"/>
                <w:color w:val="000000"/>
                <w:sz w:val="22"/>
                <w:szCs w:val="22"/>
              </w:rPr>
              <w:t>throughout the program cycle</w:t>
            </w:r>
          </w:p>
          <w:p w:rsidR="00DA4531" w:rsidRPr="00F86421" w:rsidRDefault="00DA4531" w:rsidP="00F86421">
            <w:pPr>
              <w:pStyle w:val="ListParagraph"/>
              <w:numPr>
                <w:ilvl w:val="0"/>
                <w:numId w:val="12"/>
              </w:numPr>
              <w:pBdr>
                <w:top w:val="nil"/>
                <w:left w:val="nil"/>
                <w:bottom w:val="nil"/>
                <w:right w:val="nil"/>
                <w:between w:val="nil"/>
              </w:pBdr>
              <w:spacing w:line="276" w:lineRule="auto"/>
              <w:jc w:val="both"/>
              <w:rPr>
                <w:rFonts w:ascii="Calibri" w:eastAsia="Calibri" w:hAnsi="Calibri" w:cs="Calibri"/>
                <w:color w:val="000000"/>
                <w:sz w:val="22"/>
                <w:szCs w:val="22"/>
              </w:rPr>
            </w:pPr>
            <w:r w:rsidRPr="00F86421">
              <w:rPr>
                <w:rFonts w:ascii="Calibri" w:eastAsia="Calibri" w:hAnsi="Calibri" w:cs="Calibri"/>
                <w:color w:val="000000"/>
                <w:sz w:val="22"/>
                <w:szCs w:val="22"/>
              </w:rPr>
              <w:t>Identification of potential data collection methods, suited to the WFS/WLCC, UNFPA health service points, for monitoring disability inclusion</w:t>
            </w:r>
          </w:p>
        </w:tc>
      </w:tr>
      <w:tr w:rsidR="0033318D" w:rsidTr="00E227D0">
        <w:trPr>
          <w:trHeight w:val="61"/>
        </w:trPr>
        <w:tc>
          <w:tcPr>
            <w:tcW w:w="2278" w:type="dxa"/>
            <w:tcBorders>
              <w:top w:val="single" w:sz="6" w:space="0" w:color="000000"/>
              <w:left w:val="single" w:sz="6" w:space="0" w:color="000000"/>
              <w:bottom w:val="single" w:sz="6" w:space="0" w:color="000000"/>
            </w:tcBorders>
          </w:tcPr>
          <w:p w:rsidR="0033318D" w:rsidRDefault="00680499">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t>Duration and working schedule:</w:t>
            </w:r>
          </w:p>
        </w:tc>
        <w:tc>
          <w:tcPr>
            <w:tcW w:w="7560" w:type="dxa"/>
            <w:tcBorders>
              <w:top w:val="single" w:sz="6" w:space="0" w:color="000000"/>
              <w:left w:val="single" w:sz="6" w:space="0" w:color="000000"/>
              <w:bottom w:val="single" w:sz="6" w:space="0" w:color="000000"/>
              <w:right w:val="single" w:sz="6" w:space="0" w:color="000000"/>
            </w:tcBorders>
          </w:tcPr>
          <w:p w:rsidR="0033318D" w:rsidRDefault="00F86421">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t>6</w:t>
            </w:r>
            <w:r w:rsidR="003A2F2C" w:rsidRPr="00342395">
              <w:rPr>
                <w:rFonts w:ascii="Calibri" w:eastAsia="Calibri" w:hAnsi="Calibri" w:cs="Calibri"/>
                <w:sz w:val="22"/>
                <w:szCs w:val="22"/>
              </w:rPr>
              <w:t xml:space="preserve"> months</w:t>
            </w:r>
          </w:p>
        </w:tc>
      </w:tr>
      <w:tr w:rsidR="0033318D" w:rsidTr="00E227D0">
        <w:trPr>
          <w:trHeight w:val="63"/>
        </w:trPr>
        <w:tc>
          <w:tcPr>
            <w:tcW w:w="2278" w:type="dxa"/>
            <w:tcBorders>
              <w:top w:val="single" w:sz="6" w:space="0" w:color="000000"/>
              <w:left w:val="single" w:sz="6" w:space="0" w:color="000000"/>
              <w:bottom w:val="single" w:sz="6" w:space="0" w:color="000000"/>
            </w:tcBorders>
          </w:tcPr>
          <w:p w:rsidR="0033318D" w:rsidRDefault="00680499">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t>Place where services are to be delivered:</w:t>
            </w:r>
          </w:p>
        </w:tc>
        <w:tc>
          <w:tcPr>
            <w:tcW w:w="7560" w:type="dxa"/>
            <w:tcBorders>
              <w:top w:val="single" w:sz="6" w:space="0" w:color="000000"/>
              <w:left w:val="single" w:sz="6" w:space="0" w:color="000000"/>
              <w:bottom w:val="single" w:sz="6" w:space="0" w:color="000000"/>
              <w:right w:val="single" w:sz="6" w:space="0" w:color="000000"/>
            </w:tcBorders>
          </w:tcPr>
          <w:p w:rsidR="0033318D" w:rsidRDefault="003A2F2C">
            <w:pPr>
              <w:tabs>
                <w:tab w:val="left" w:pos="-720"/>
              </w:tabs>
              <w:spacing w:before="40" w:after="54" w:line="276" w:lineRule="auto"/>
              <w:rPr>
                <w:rFonts w:ascii="Calibri" w:eastAsia="Calibri" w:hAnsi="Calibri" w:cs="Calibri"/>
                <w:sz w:val="22"/>
                <w:szCs w:val="22"/>
              </w:rPr>
            </w:pPr>
            <w:r w:rsidRPr="00F86421">
              <w:rPr>
                <w:rFonts w:ascii="Calibri" w:eastAsia="Calibri" w:hAnsi="Calibri" w:cs="Calibri"/>
                <w:sz w:val="22"/>
                <w:szCs w:val="22"/>
              </w:rPr>
              <w:t>Cox’s Bazar city</w:t>
            </w:r>
          </w:p>
        </w:tc>
      </w:tr>
      <w:tr w:rsidR="0033318D" w:rsidTr="00E227D0">
        <w:trPr>
          <w:trHeight w:val="151"/>
        </w:trPr>
        <w:tc>
          <w:tcPr>
            <w:tcW w:w="2278" w:type="dxa"/>
            <w:tcBorders>
              <w:top w:val="single" w:sz="6" w:space="0" w:color="000000"/>
              <w:left w:val="single" w:sz="6" w:space="0" w:color="000000"/>
              <w:bottom w:val="single" w:sz="6" w:space="0" w:color="000000"/>
            </w:tcBorders>
          </w:tcPr>
          <w:p w:rsidR="0033318D" w:rsidRDefault="00680499">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t xml:space="preserve">Delivery dates and how work </w:t>
            </w:r>
            <w:proofErr w:type="gramStart"/>
            <w:r>
              <w:rPr>
                <w:rFonts w:ascii="Calibri" w:eastAsia="Calibri" w:hAnsi="Calibri" w:cs="Calibri"/>
                <w:sz w:val="22"/>
                <w:szCs w:val="22"/>
              </w:rPr>
              <w:t>will be delivered</w:t>
            </w:r>
            <w:proofErr w:type="gramEnd"/>
            <w:r>
              <w:rPr>
                <w:rFonts w:ascii="Calibri" w:eastAsia="Calibri" w:hAnsi="Calibri" w:cs="Calibri"/>
                <w:sz w:val="22"/>
                <w:szCs w:val="22"/>
              </w:rPr>
              <w:t xml:space="preserve"> (</w:t>
            </w:r>
            <w:r>
              <w:rPr>
                <w:rFonts w:ascii="Calibri" w:eastAsia="Calibri" w:hAnsi="Calibri" w:cs="Calibri"/>
                <w:i/>
                <w:sz w:val="22"/>
                <w:szCs w:val="22"/>
              </w:rPr>
              <w:t>e.g.</w:t>
            </w:r>
            <w:r>
              <w:rPr>
                <w:rFonts w:ascii="Calibri" w:eastAsia="Calibri" w:hAnsi="Calibri" w:cs="Calibri"/>
                <w:sz w:val="22"/>
                <w:szCs w:val="22"/>
              </w:rPr>
              <w:t xml:space="preserve"> electronic, hard copy etc.):</w:t>
            </w:r>
          </w:p>
        </w:tc>
        <w:tc>
          <w:tcPr>
            <w:tcW w:w="7560" w:type="dxa"/>
            <w:tcBorders>
              <w:top w:val="single" w:sz="6" w:space="0" w:color="000000"/>
              <w:left w:val="single" w:sz="6" w:space="0" w:color="000000"/>
              <w:bottom w:val="single" w:sz="6" w:space="0" w:color="000000"/>
              <w:right w:val="single" w:sz="6" w:space="0" w:color="000000"/>
            </w:tcBorders>
          </w:tcPr>
          <w:p w:rsidR="00E22EAF" w:rsidRDefault="003A2F2C" w:rsidP="003A2F2C">
            <w:pPr>
              <w:tabs>
                <w:tab w:val="left" w:pos="-720"/>
              </w:tabs>
              <w:spacing w:before="40" w:after="54" w:line="276" w:lineRule="auto"/>
              <w:rPr>
                <w:rFonts w:ascii="Calibri" w:eastAsia="Calibri" w:hAnsi="Calibri" w:cs="Calibri"/>
                <w:sz w:val="22"/>
                <w:szCs w:val="22"/>
              </w:rPr>
            </w:pPr>
            <w:r w:rsidRPr="003A2F2C">
              <w:rPr>
                <w:rFonts w:ascii="Calibri" w:eastAsia="Calibri" w:hAnsi="Calibri" w:cs="Calibri"/>
                <w:sz w:val="22"/>
                <w:szCs w:val="22"/>
              </w:rPr>
              <w:t xml:space="preserve">The consultant will prepare monthly work plan to </w:t>
            </w:r>
            <w:proofErr w:type="gramStart"/>
            <w:r w:rsidRPr="003A2F2C">
              <w:rPr>
                <w:rFonts w:ascii="Calibri" w:eastAsia="Calibri" w:hAnsi="Calibri" w:cs="Calibri"/>
                <w:sz w:val="22"/>
                <w:szCs w:val="22"/>
              </w:rPr>
              <w:t>be approved</w:t>
            </w:r>
            <w:proofErr w:type="gramEnd"/>
            <w:r w:rsidRPr="003A2F2C">
              <w:rPr>
                <w:rFonts w:ascii="Calibri" w:eastAsia="Calibri" w:hAnsi="Calibri" w:cs="Calibri"/>
                <w:sz w:val="22"/>
                <w:szCs w:val="22"/>
              </w:rPr>
              <w:t xml:space="preserve"> by his/her supervisor and submit a monthly progress report by the first week of each month f</w:t>
            </w:r>
            <w:r w:rsidR="00E22EAF">
              <w:rPr>
                <w:rFonts w:ascii="Calibri" w:eastAsia="Calibri" w:hAnsi="Calibri" w:cs="Calibri"/>
                <w:sz w:val="22"/>
                <w:szCs w:val="22"/>
              </w:rPr>
              <w:t xml:space="preserve">or the previous month. </w:t>
            </w:r>
          </w:p>
          <w:p w:rsidR="00E22EAF" w:rsidRPr="00E22EAF" w:rsidRDefault="00E22EAF" w:rsidP="00E22EAF">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t xml:space="preserve"> </w:t>
            </w:r>
            <w:r w:rsidRPr="00E22EAF">
              <w:rPr>
                <w:rFonts w:ascii="Calibri" w:eastAsia="Calibri" w:hAnsi="Calibri" w:cs="Calibri"/>
                <w:sz w:val="22"/>
                <w:szCs w:val="22"/>
              </w:rPr>
              <w:t xml:space="preserve">The following is a list of indicative but not exhaustive tasks that the consultant has to undertake to deliver the outputs of the </w:t>
            </w:r>
            <w:proofErr w:type="spellStart"/>
            <w:r w:rsidRPr="00E22EAF">
              <w:rPr>
                <w:rFonts w:ascii="Calibri" w:eastAsia="Calibri" w:hAnsi="Calibri" w:cs="Calibri"/>
                <w:sz w:val="22"/>
                <w:szCs w:val="22"/>
              </w:rPr>
              <w:t>ToR</w:t>
            </w:r>
            <w:proofErr w:type="spellEnd"/>
            <w:r w:rsidRPr="00E22EAF">
              <w:rPr>
                <w:rFonts w:ascii="Calibri" w:eastAsia="Calibri" w:hAnsi="Calibri" w:cs="Calibri"/>
                <w:sz w:val="22"/>
                <w:szCs w:val="22"/>
              </w:rPr>
              <w:t>:</w:t>
            </w:r>
          </w:p>
          <w:p w:rsidR="00E22EAF" w:rsidRPr="00F86421" w:rsidRDefault="00E22EAF" w:rsidP="00F86421">
            <w:pPr>
              <w:pStyle w:val="ListParagraph"/>
              <w:numPr>
                <w:ilvl w:val="0"/>
                <w:numId w:val="11"/>
              </w:numPr>
              <w:tabs>
                <w:tab w:val="left" w:pos="-720"/>
              </w:tabs>
              <w:spacing w:before="40" w:after="54" w:line="276" w:lineRule="auto"/>
              <w:rPr>
                <w:rFonts w:ascii="Calibri" w:eastAsia="Calibri" w:hAnsi="Calibri" w:cs="Calibri"/>
                <w:sz w:val="22"/>
                <w:szCs w:val="22"/>
              </w:rPr>
            </w:pPr>
            <w:r w:rsidRPr="00F86421">
              <w:rPr>
                <w:rFonts w:ascii="Calibri" w:eastAsia="Calibri" w:hAnsi="Calibri" w:cs="Calibri"/>
                <w:sz w:val="22"/>
                <w:szCs w:val="22"/>
              </w:rPr>
              <w:t xml:space="preserve">Develop and finalize methodology for systematic review and mapping </w:t>
            </w:r>
          </w:p>
          <w:p w:rsidR="00E22EAF" w:rsidRPr="00F86421" w:rsidRDefault="00F86421" w:rsidP="00F86421">
            <w:pPr>
              <w:pStyle w:val="ListParagraph"/>
              <w:numPr>
                <w:ilvl w:val="0"/>
                <w:numId w:val="11"/>
              </w:num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t>Develop a</w:t>
            </w:r>
            <w:r w:rsidR="00E22EAF" w:rsidRPr="00F86421">
              <w:rPr>
                <w:rFonts w:ascii="Calibri" w:eastAsia="Calibri" w:hAnsi="Calibri" w:cs="Calibri"/>
                <w:sz w:val="22"/>
                <w:szCs w:val="22"/>
              </w:rPr>
              <w:t xml:space="preserve"> guide of women and adolescent and youth friendly toolkit to increase the participation of women and youth with disabilities </w:t>
            </w:r>
          </w:p>
          <w:p w:rsidR="00E22EAF" w:rsidRPr="00F86421" w:rsidRDefault="00E22EAF" w:rsidP="00F86421">
            <w:pPr>
              <w:pStyle w:val="ListParagraph"/>
              <w:numPr>
                <w:ilvl w:val="0"/>
                <w:numId w:val="11"/>
              </w:numPr>
              <w:tabs>
                <w:tab w:val="left" w:pos="-720"/>
              </w:tabs>
              <w:spacing w:before="40" w:after="54" w:line="276" w:lineRule="auto"/>
              <w:rPr>
                <w:rFonts w:ascii="Calibri" w:eastAsia="Calibri" w:hAnsi="Calibri" w:cs="Calibri"/>
                <w:sz w:val="22"/>
                <w:szCs w:val="22"/>
              </w:rPr>
            </w:pPr>
            <w:r w:rsidRPr="00F86421">
              <w:rPr>
                <w:rFonts w:ascii="Calibri" w:eastAsia="Calibri" w:hAnsi="Calibri" w:cs="Calibri"/>
                <w:sz w:val="22"/>
                <w:szCs w:val="22"/>
              </w:rPr>
              <w:lastRenderedPageBreak/>
              <w:t>Collect all evidence and data from the camps and host community and undertaken the analysis;</w:t>
            </w:r>
          </w:p>
          <w:p w:rsidR="00E22EAF" w:rsidRPr="00F86421" w:rsidRDefault="00E22EAF" w:rsidP="00F86421">
            <w:pPr>
              <w:pStyle w:val="ListParagraph"/>
              <w:numPr>
                <w:ilvl w:val="0"/>
                <w:numId w:val="11"/>
              </w:numPr>
              <w:tabs>
                <w:tab w:val="left" w:pos="-720"/>
              </w:tabs>
              <w:spacing w:before="40" w:after="54" w:line="276" w:lineRule="auto"/>
              <w:rPr>
                <w:rFonts w:ascii="Calibri" w:eastAsia="Calibri" w:hAnsi="Calibri" w:cs="Calibri"/>
                <w:sz w:val="22"/>
                <w:szCs w:val="22"/>
              </w:rPr>
            </w:pPr>
            <w:r w:rsidRPr="00F86421">
              <w:rPr>
                <w:rFonts w:ascii="Calibri" w:eastAsia="Calibri" w:hAnsi="Calibri" w:cs="Calibri"/>
                <w:sz w:val="22"/>
                <w:szCs w:val="22"/>
              </w:rPr>
              <w:t>Draft systematic review and mapping report and a toolkit;</w:t>
            </w:r>
            <w:r w:rsidR="00F86421" w:rsidRPr="00F86421">
              <w:rPr>
                <w:rFonts w:ascii="Calibri" w:eastAsia="Calibri" w:hAnsi="Calibri" w:cs="Calibri"/>
                <w:sz w:val="22"/>
                <w:szCs w:val="22"/>
              </w:rPr>
              <w:t xml:space="preserve"> to</w:t>
            </w:r>
            <w:r w:rsidR="00F86421">
              <w:rPr>
                <w:rFonts w:ascii="Calibri" w:eastAsia="Calibri" w:hAnsi="Calibri" w:cs="Calibri"/>
                <w:sz w:val="22"/>
                <w:szCs w:val="22"/>
              </w:rPr>
              <w:t xml:space="preserve"> </w:t>
            </w:r>
            <w:r w:rsidR="00F86421" w:rsidRPr="00F86421">
              <w:rPr>
                <w:rFonts w:ascii="Calibri" w:eastAsia="Calibri" w:hAnsi="Calibri" w:cs="Calibri"/>
                <w:sz w:val="22"/>
                <w:szCs w:val="22"/>
              </w:rPr>
              <w:t>include clear implementation strategies to be included in the CXB humanitarian strategy</w:t>
            </w:r>
            <w:r w:rsidR="00F86421">
              <w:rPr>
                <w:rFonts w:ascii="Calibri" w:eastAsia="Calibri" w:hAnsi="Calibri" w:cs="Calibri"/>
                <w:sz w:val="22"/>
                <w:szCs w:val="22"/>
              </w:rPr>
              <w:t xml:space="preserve"> (implemented across the sectors </w:t>
            </w:r>
            <w:proofErr w:type="spellStart"/>
            <w:r w:rsidR="00F86421">
              <w:rPr>
                <w:rFonts w:ascii="Calibri" w:eastAsia="Calibri" w:hAnsi="Calibri" w:cs="Calibri"/>
                <w:sz w:val="22"/>
                <w:szCs w:val="22"/>
              </w:rPr>
              <w:t>esp.SRHR</w:t>
            </w:r>
            <w:proofErr w:type="spellEnd"/>
            <w:r w:rsidR="00F86421">
              <w:rPr>
                <w:rFonts w:ascii="Calibri" w:eastAsia="Calibri" w:hAnsi="Calibri" w:cs="Calibri"/>
                <w:sz w:val="22"/>
                <w:szCs w:val="22"/>
              </w:rPr>
              <w:t>, GBV and AY)</w:t>
            </w:r>
          </w:p>
          <w:p w:rsidR="003A2F2C" w:rsidRPr="00F86421" w:rsidRDefault="00E22EAF" w:rsidP="00F86421">
            <w:pPr>
              <w:pStyle w:val="ListParagraph"/>
              <w:numPr>
                <w:ilvl w:val="0"/>
                <w:numId w:val="11"/>
              </w:numPr>
              <w:tabs>
                <w:tab w:val="left" w:pos="-720"/>
              </w:tabs>
              <w:spacing w:before="40" w:after="54" w:line="276" w:lineRule="auto"/>
              <w:rPr>
                <w:rFonts w:ascii="Calibri" w:eastAsia="Calibri" w:hAnsi="Calibri" w:cs="Calibri"/>
                <w:sz w:val="22"/>
                <w:szCs w:val="22"/>
              </w:rPr>
            </w:pPr>
            <w:r w:rsidRPr="00F86421">
              <w:rPr>
                <w:rFonts w:ascii="Calibri" w:eastAsia="Calibri" w:hAnsi="Calibri" w:cs="Calibri"/>
                <w:sz w:val="22"/>
                <w:szCs w:val="22"/>
              </w:rPr>
              <w:t xml:space="preserve">Feedback from all key stakeholders including UNFPA and other UN agencies; </w:t>
            </w:r>
          </w:p>
          <w:p w:rsidR="00F86421" w:rsidRPr="00F86421" w:rsidRDefault="00F86421" w:rsidP="00F86421">
            <w:pPr>
              <w:pStyle w:val="ListParagraph"/>
              <w:numPr>
                <w:ilvl w:val="0"/>
                <w:numId w:val="11"/>
              </w:numPr>
              <w:tabs>
                <w:tab w:val="left" w:pos="-720"/>
              </w:tabs>
              <w:spacing w:before="40" w:after="54" w:line="276" w:lineRule="auto"/>
              <w:rPr>
                <w:rFonts w:ascii="Calibri" w:eastAsia="Calibri" w:hAnsi="Calibri" w:cs="Calibri"/>
                <w:sz w:val="22"/>
                <w:szCs w:val="22"/>
              </w:rPr>
            </w:pPr>
            <w:r w:rsidRPr="00F86421">
              <w:rPr>
                <w:rFonts w:ascii="Calibri" w:eastAsia="Calibri" w:hAnsi="Calibri" w:cs="Calibri"/>
                <w:sz w:val="22"/>
                <w:szCs w:val="22"/>
              </w:rPr>
              <w:t>Presentation</w:t>
            </w:r>
            <w:r>
              <w:rPr>
                <w:rFonts w:ascii="Calibri" w:eastAsia="Calibri" w:hAnsi="Calibri" w:cs="Calibri"/>
                <w:sz w:val="22"/>
                <w:szCs w:val="22"/>
              </w:rPr>
              <w:t xml:space="preserve"> (PowerPoint)</w:t>
            </w:r>
            <w:r w:rsidRPr="00F86421">
              <w:rPr>
                <w:rFonts w:ascii="Calibri" w:eastAsia="Calibri" w:hAnsi="Calibri" w:cs="Calibri"/>
                <w:sz w:val="22"/>
                <w:szCs w:val="22"/>
              </w:rPr>
              <w:t xml:space="preserve"> of the findings and with clear recommendat</w:t>
            </w:r>
            <w:r>
              <w:rPr>
                <w:rFonts w:ascii="Calibri" w:eastAsia="Calibri" w:hAnsi="Calibri" w:cs="Calibri"/>
                <w:sz w:val="22"/>
                <w:szCs w:val="22"/>
              </w:rPr>
              <w:t>ions and way forward</w:t>
            </w:r>
          </w:p>
          <w:p w:rsidR="0033318D" w:rsidRDefault="00680499">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t xml:space="preserve">All documents to </w:t>
            </w:r>
            <w:proofErr w:type="gramStart"/>
            <w:r>
              <w:rPr>
                <w:rFonts w:ascii="Calibri" w:eastAsia="Calibri" w:hAnsi="Calibri" w:cs="Calibri"/>
                <w:sz w:val="22"/>
                <w:szCs w:val="22"/>
              </w:rPr>
              <w:t>be submitted</w:t>
            </w:r>
            <w:proofErr w:type="gramEnd"/>
            <w:r>
              <w:rPr>
                <w:rFonts w:ascii="Calibri" w:eastAsia="Calibri" w:hAnsi="Calibri" w:cs="Calibri"/>
                <w:sz w:val="22"/>
                <w:szCs w:val="22"/>
              </w:rPr>
              <w:t xml:space="preserve"> to UNFPA in electronic copy using MS Word format.</w:t>
            </w:r>
          </w:p>
        </w:tc>
      </w:tr>
      <w:tr w:rsidR="00E227D0" w:rsidTr="00E227D0">
        <w:trPr>
          <w:trHeight w:val="151"/>
        </w:trPr>
        <w:tc>
          <w:tcPr>
            <w:tcW w:w="2278" w:type="dxa"/>
            <w:tcBorders>
              <w:top w:val="single" w:sz="6" w:space="0" w:color="000000"/>
              <w:left w:val="single" w:sz="6" w:space="0" w:color="000000"/>
              <w:bottom w:val="single" w:sz="6" w:space="0" w:color="000000"/>
            </w:tcBorders>
          </w:tcPr>
          <w:p w:rsidR="00E227D0" w:rsidRDefault="00E227D0">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lastRenderedPageBreak/>
              <w:t>Monitoring and progress control, including reporting requirements:</w:t>
            </w:r>
          </w:p>
        </w:tc>
        <w:tc>
          <w:tcPr>
            <w:tcW w:w="7560" w:type="dxa"/>
            <w:tcBorders>
              <w:top w:val="single" w:sz="6" w:space="0" w:color="000000"/>
              <w:left w:val="single" w:sz="6" w:space="0" w:color="000000"/>
              <w:bottom w:val="single" w:sz="6" w:space="0" w:color="000000"/>
              <w:right w:val="single" w:sz="6" w:space="0" w:color="000000"/>
            </w:tcBorders>
          </w:tcPr>
          <w:p w:rsidR="00E227D0" w:rsidRPr="00342395" w:rsidRDefault="00E227D0" w:rsidP="00E227D0">
            <w:pPr>
              <w:rPr>
                <w:rFonts w:ascii="Calibri" w:eastAsia="Calibri" w:hAnsi="Calibri" w:cs="Calibri"/>
                <w:sz w:val="22"/>
                <w:szCs w:val="22"/>
              </w:rPr>
            </w:pPr>
            <w:r w:rsidRPr="00342395">
              <w:rPr>
                <w:rFonts w:ascii="Calibri" w:eastAsia="Calibri" w:hAnsi="Calibri" w:cs="Calibri"/>
                <w:sz w:val="22"/>
                <w:szCs w:val="22"/>
              </w:rPr>
              <w:t xml:space="preserve">The Consultant will work closely with all units in carrying out the duties within the deadlines for the deliverables mentioned above and the Consultant should adhere to these timelines. </w:t>
            </w:r>
          </w:p>
          <w:p w:rsidR="00E227D0" w:rsidRPr="003A2F2C" w:rsidRDefault="00E227D0" w:rsidP="00E227D0">
            <w:pPr>
              <w:spacing w:after="54"/>
              <w:rPr>
                <w:rFonts w:ascii="Calibri" w:eastAsia="Calibri" w:hAnsi="Calibri" w:cs="Calibri"/>
                <w:sz w:val="22"/>
                <w:szCs w:val="22"/>
              </w:rPr>
            </w:pPr>
            <w:r w:rsidRPr="00342395">
              <w:rPr>
                <w:rFonts w:ascii="Calibri" w:eastAsia="Calibri" w:hAnsi="Calibri" w:cs="Calibri"/>
                <w:sz w:val="22"/>
                <w:szCs w:val="22"/>
              </w:rPr>
              <w:t xml:space="preserve">Progress </w:t>
            </w:r>
            <w:proofErr w:type="gramStart"/>
            <w:r w:rsidRPr="00342395">
              <w:rPr>
                <w:rFonts w:ascii="Calibri" w:eastAsia="Calibri" w:hAnsi="Calibri" w:cs="Calibri"/>
                <w:sz w:val="22"/>
                <w:szCs w:val="22"/>
              </w:rPr>
              <w:t>will be monitored</w:t>
            </w:r>
            <w:proofErr w:type="gramEnd"/>
            <w:r w:rsidRPr="00342395">
              <w:rPr>
                <w:rFonts w:ascii="Calibri" w:eastAsia="Calibri" w:hAnsi="Calibri" w:cs="Calibri"/>
                <w:sz w:val="22"/>
                <w:szCs w:val="22"/>
              </w:rPr>
              <w:t xml:space="preserve"> on a monthly work plan and progress reports, sharing electronic updates against terms of reference and deliverables as per initial agreement.</w:t>
            </w:r>
          </w:p>
        </w:tc>
      </w:tr>
      <w:tr w:rsidR="0033318D" w:rsidTr="00E227D0">
        <w:trPr>
          <w:trHeight w:val="61"/>
        </w:trPr>
        <w:tc>
          <w:tcPr>
            <w:tcW w:w="2278" w:type="dxa"/>
            <w:tcBorders>
              <w:top w:val="single" w:sz="6" w:space="0" w:color="000000"/>
              <w:left w:val="single" w:sz="6" w:space="0" w:color="000000"/>
              <w:bottom w:val="single" w:sz="6" w:space="0" w:color="000000"/>
            </w:tcBorders>
          </w:tcPr>
          <w:p w:rsidR="0033318D" w:rsidRDefault="00680499">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t xml:space="preserve">Supervisory arrangements: </w:t>
            </w:r>
          </w:p>
        </w:tc>
        <w:tc>
          <w:tcPr>
            <w:tcW w:w="7560" w:type="dxa"/>
            <w:tcBorders>
              <w:top w:val="single" w:sz="6" w:space="0" w:color="000000"/>
              <w:left w:val="single" w:sz="6" w:space="0" w:color="000000"/>
              <w:bottom w:val="single" w:sz="6" w:space="0" w:color="000000"/>
              <w:right w:val="single" w:sz="6" w:space="0" w:color="000000"/>
            </w:tcBorders>
          </w:tcPr>
          <w:p w:rsidR="0033318D" w:rsidRPr="00342395" w:rsidRDefault="00680499">
            <w:pPr>
              <w:spacing w:line="276" w:lineRule="auto"/>
              <w:jc w:val="both"/>
              <w:rPr>
                <w:rFonts w:ascii="Calibri" w:eastAsia="Calibri" w:hAnsi="Calibri" w:cs="Calibri"/>
                <w:sz w:val="22"/>
                <w:szCs w:val="22"/>
              </w:rPr>
            </w:pPr>
            <w:r>
              <w:rPr>
                <w:rFonts w:ascii="Calibri" w:eastAsia="Calibri" w:hAnsi="Calibri" w:cs="Calibri"/>
                <w:sz w:val="22"/>
                <w:szCs w:val="22"/>
              </w:rPr>
              <w:t xml:space="preserve">The Consultant will work under the overall guidance of the </w:t>
            </w:r>
            <w:r w:rsidR="00E22EAF" w:rsidRPr="00DA4531">
              <w:rPr>
                <w:rFonts w:ascii="Calibri" w:eastAsia="Calibri" w:hAnsi="Calibri" w:cs="Calibri"/>
                <w:sz w:val="22"/>
                <w:szCs w:val="22"/>
              </w:rPr>
              <w:t xml:space="preserve">Head of Sub Office </w:t>
            </w:r>
            <w:r>
              <w:rPr>
                <w:rFonts w:ascii="Calibri" w:eastAsia="Calibri" w:hAnsi="Calibri" w:cs="Calibri"/>
                <w:sz w:val="22"/>
                <w:szCs w:val="22"/>
              </w:rPr>
              <w:t xml:space="preserve">to fulfil the activities mentioned above. </w:t>
            </w:r>
          </w:p>
        </w:tc>
      </w:tr>
      <w:tr w:rsidR="0033318D" w:rsidTr="00E227D0">
        <w:trPr>
          <w:trHeight w:val="91"/>
        </w:trPr>
        <w:tc>
          <w:tcPr>
            <w:tcW w:w="2278" w:type="dxa"/>
            <w:tcBorders>
              <w:top w:val="single" w:sz="6" w:space="0" w:color="000000"/>
              <w:left w:val="single" w:sz="6" w:space="0" w:color="000000"/>
              <w:bottom w:val="single" w:sz="6" w:space="0" w:color="000000"/>
            </w:tcBorders>
          </w:tcPr>
          <w:p w:rsidR="0033318D" w:rsidRDefault="00680499">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t>Expected travel:</w:t>
            </w:r>
          </w:p>
        </w:tc>
        <w:tc>
          <w:tcPr>
            <w:tcW w:w="7560" w:type="dxa"/>
            <w:tcBorders>
              <w:top w:val="single" w:sz="6" w:space="0" w:color="000000"/>
              <w:left w:val="single" w:sz="6" w:space="0" w:color="000000"/>
              <w:bottom w:val="single" w:sz="6" w:space="0" w:color="000000"/>
              <w:right w:val="single" w:sz="6" w:space="0" w:color="000000"/>
            </w:tcBorders>
          </w:tcPr>
          <w:p w:rsidR="0033318D" w:rsidRDefault="00E22EAF" w:rsidP="00342395">
            <w:pPr>
              <w:tabs>
                <w:tab w:val="left" w:pos="-720"/>
              </w:tabs>
              <w:spacing w:before="40" w:after="54" w:line="276" w:lineRule="auto"/>
              <w:rPr>
                <w:rFonts w:ascii="Calibri" w:eastAsia="Calibri" w:hAnsi="Calibri" w:cs="Calibri"/>
                <w:sz w:val="22"/>
                <w:szCs w:val="22"/>
              </w:rPr>
            </w:pPr>
            <w:r w:rsidRPr="00342395">
              <w:rPr>
                <w:rFonts w:ascii="Calibri" w:eastAsia="Calibri" w:hAnsi="Calibri" w:cs="Calibri"/>
                <w:sz w:val="22"/>
                <w:szCs w:val="22"/>
              </w:rPr>
              <w:t xml:space="preserve">Travel </w:t>
            </w:r>
            <w:r w:rsidR="00342395" w:rsidRPr="00342395">
              <w:rPr>
                <w:rFonts w:ascii="Calibri" w:eastAsia="Calibri" w:hAnsi="Calibri" w:cs="Calibri"/>
                <w:sz w:val="22"/>
                <w:szCs w:val="22"/>
              </w:rPr>
              <w:t>will</w:t>
            </w:r>
            <w:r w:rsidRPr="00342395">
              <w:rPr>
                <w:rFonts w:ascii="Calibri" w:eastAsia="Calibri" w:hAnsi="Calibri" w:cs="Calibri"/>
                <w:sz w:val="22"/>
                <w:szCs w:val="22"/>
              </w:rPr>
              <w:t xml:space="preserve"> be</w:t>
            </w:r>
            <w:r w:rsidR="00680499" w:rsidRPr="00342395">
              <w:rPr>
                <w:rFonts w:ascii="Calibri" w:eastAsia="Calibri" w:hAnsi="Calibri" w:cs="Calibri"/>
                <w:sz w:val="22"/>
                <w:szCs w:val="22"/>
              </w:rPr>
              <w:t xml:space="preserve"> required for this Consultancy within Cox’s Bazar</w:t>
            </w:r>
            <w:r w:rsidR="00342395" w:rsidRPr="00342395">
              <w:rPr>
                <w:rFonts w:ascii="Calibri" w:eastAsia="Calibri" w:hAnsi="Calibri" w:cs="Calibri"/>
                <w:sz w:val="22"/>
                <w:szCs w:val="22"/>
              </w:rPr>
              <w:t xml:space="preserve"> District</w:t>
            </w:r>
            <w:r w:rsidR="00680499" w:rsidRPr="00342395">
              <w:rPr>
                <w:rFonts w:ascii="Calibri" w:eastAsia="Calibri" w:hAnsi="Calibri" w:cs="Calibri"/>
                <w:sz w:val="22"/>
                <w:szCs w:val="22"/>
              </w:rPr>
              <w:t>.</w:t>
            </w:r>
            <w:r w:rsidR="00680499">
              <w:rPr>
                <w:rFonts w:ascii="Calibri" w:eastAsia="Calibri" w:hAnsi="Calibri" w:cs="Calibri"/>
                <w:sz w:val="22"/>
                <w:szCs w:val="22"/>
              </w:rPr>
              <w:t xml:space="preserve"> </w:t>
            </w:r>
          </w:p>
        </w:tc>
      </w:tr>
      <w:tr w:rsidR="0033318D" w:rsidTr="00E227D0">
        <w:trPr>
          <w:trHeight w:val="65"/>
        </w:trPr>
        <w:tc>
          <w:tcPr>
            <w:tcW w:w="2278" w:type="dxa"/>
            <w:tcBorders>
              <w:top w:val="single" w:sz="6" w:space="0" w:color="000000"/>
              <w:left w:val="single" w:sz="6" w:space="0" w:color="000000"/>
              <w:bottom w:val="single" w:sz="6" w:space="0" w:color="000000"/>
            </w:tcBorders>
          </w:tcPr>
          <w:p w:rsidR="0033318D" w:rsidRDefault="00680499">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t>Required expertise, qualifications and competencies, including language requirements:</w:t>
            </w:r>
          </w:p>
        </w:tc>
        <w:tc>
          <w:tcPr>
            <w:tcW w:w="7560" w:type="dxa"/>
            <w:tcBorders>
              <w:top w:val="single" w:sz="6" w:space="0" w:color="000000"/>
              <w:left w:val="single" w:sz="6" w:space="0" w:color="000000"/>
              <w:bottom w:val="single" w:sz="6" w:space="0" w:color="000000"/>
              <w:right w:val="single" w:sz="6" w:space="0" w:color="000000"/>
            </w:tcBorders>
          </w:tcPr>
          <w:p w:rsidR="00DA4531" w:rsidRPr="00342395" w:rsidRDefault="00680499" w:rsidP="00DA4531">
            <w:p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 </w:t>
            </w:r>
            <w:r w:rsidR="00DA4531" w:rsidRPr="00DA4531">
              <w:rPr>
                <w:rFonts w:ascii="Calibri" w:eastAsia="Calibri" w:hAnsi="Calibri" w:cs="Calibri"/>
                <w:b/>
                <w:color w:val="000000"/>
                <w:sz w:val="22"/>
                <w:szCs w:val="22"/>
              </w:rPr>
              <w:t>Education:</w:t>
            </w:r>
          </w:p>
          <w:p w:rsidR="00E539E6" w:rsidRPr="00E227D0" w:rsidRDefault="00DA4531" w:rsidP="00DA4531">
            <w:pPr>
              <w:pStyle w:val="ListParagraph"/>
              <w:numPr>
                <w:ilvl w:val="0"/>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sidRPr="00E227D0">
              <w:rPr>
                <w:rFonts w:ascii="Calibri" w:eastAsia="Calibri" w:hAnsi="Calibri" w:cs="Calibri"/>
                <w:color w:val="000000"/>
                <w:sz w:val="22"/>
                <w:szCs w:val="22"/>
              </w:rPr>
              <w:t>Master’s degree or equivalent in human rights, international development, international relations, disability studies, or other social science or public health fields is required.</w:t>
            </w:r>
          </w:p>
          <w:p w:rsidR="00DA4531" w:rsidRPr="00E227D0" w:rsidRDefault="00DA4531" w:rsidP="00E227D0">
            <w:pPr>
              <w:pBdr>
                <w:top w:val="nil"/>
                <w:left w:val="nil"/>
                <w:bottom w:val="nil"/>
                <w:right w:val="nil"/>
                <w:between w:val="nil"/>
              </w:pBdr>
              <w:spacing w:line="276" w:lineRule="auto"/>
              <w:ind w:left="360"/>
              <w:jc w:val="both"/>
              <w:rPr>
                <w:rFonts w:ascii="Calibri" w:eastAsia="Calibri" w:hAnsi="Calibri" w:cs="Calibri"/>
                <w:b/>
                <w:color w:val="000000"/>
                <w:sz w:val="22"/>
                <w:szCs w:val="22"/>
              </w:rPr>
            </w:pPr>
            <w:r w:rsidRPr="00E227D0">
              <w:rPr>
                <w:rFonts w:ascii="Calibri" w:eastAsia="Calibri" w:hAnsi="Calibri" w:cs="Calibri"/>
                <w:b/>
                <w:color w:val="000000"/>
                <w:sz w:val="22"/>
                <w:szCs w:val="22"/>
              </w:rPr>
              <w:t>Knowledge and Experience:</w:t>
            </w:r>
          </w:p>
          <w:p w:rsidR="00DA4531" w:rsidRPr="00E227D0" w:rsidRDefault="00DA4531" w:rsidP="00E227D0">
            <w:pPr>
              <w:pStyle w:val="ListParagraph"/>
              <w:numPr>
                <w:ilvl w:val="0"/>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sidRPr="00E227D0">
              <w:rPr>
                <w:rFonts w:ascii="Calibri" w:eastAsia="Calibri" w:hAnsi="Calibri" w:cs="Calibri"/>
                <w:color w:val="000000"/>
                <w:sz w:val="22"/>
                <w:szCs w:val="22"/>
              </w:rPr>
              <w:t xml:space="preserve">At least 7 years progressively responsible experience in designing and managing programme evaluation studies, preferably on gender, SRHR, adolescents and youth, and/or violence against women and girls and harmful practices </w:t>
            </w:r>
          </w:p>
          <w:p w:rsidR="00DA4531" w:rsidRPr="00E227D0" w:rsidRDefault="00DA4531" w:rsidP="00E227D0">
            <w:pPr>
              <w:pStyle w:val="ListParagraph"/>
              <w:numPr>
                <w:ilvl w:val="0"/>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sidRPr="00E227D0">
              <w:rPr>
                <w:rFonts w:ascii="Calibri" w:eastAsia="Calibri" w:hAnsi="Calibri" w:cs="Calibri"/>
                <w:color w:val="000000"/>
                <w:sz w:val="22"/>
                <w:szCs w:val="22"/>
              </w:rPr>
              <w:t xml:space="preserve">Proven experience in capacity building programmes, preferably for the United Nations, the EU or the World Bank. </w:t>
            </w:r>
          </w:p>
          <w:p w:rsidR="00DA4531" w:rsidRPr="00E227D0" w:rsidRDefault="00DA4531" w:rsidP="00E227D0">
            <w:pPr>
              <w:pStyle w:val="ListParagraph"/>
              <w:numPr>
                <w:ilvl w:val="0"/>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sidRPr="00E227D0">
              <w:rPr>
                <w:rFonts w:ascii="Calibri" w:eastAsia="Calibri" w:hAnsi="Calibri" w:cs="Calibri"/>
                <w:color w:val="000000"/>
                <w:sz w:val="22"/>
                <w:szCs w:val="22"/>
              </w:rPr>
              <w:t>Proven experience working with persons living with disabilities and/or other vulnerable communities</w:t>
            </w:r>
          </w:p>
          <w:p w:rsidR="00DA4531" w:rsidRPr="00E227D0" w:rsidRDefault="00DA4531" w:rsidP="00E227D0">
            <w:pPr>
              <w:pStyle w:val="ListParagraph"/>
              <w:numPr>
                <w:ilvl w:val="0"/>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sidRPr="00E227D0">
              <w:rPr>
                <w:rFonts w:ascii="Calibri" w:eastAsia="Calibri" w:hAnsi="Calibri" w:cs="Calibri"/>
                <w:color w:val="000000"/>
                <w:sz w:val="22"/>
                <w:szCs w:val="22"/>
              </w:rPr>
              <w:t>Experience in providing technical assistance, data and policy analysis, strategic planning, results-based management</w:t>
            </w:r>
          </w:p>
          <w:p w:rsidR="00DA4531" w:rsidRPr="00E227D0" w:rsidRDefault="00DA4531" w:rsidP="00E227D0">
            <w:pPr>
              <w:pStyle w:val="ListParagraph"/>
              <w:numPr>
                <w:ilvl w:val="0"/>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sidRPr="00E227D0">
              <w:rPr>
                <w:rFonts w:ascii="Calibri" w:eastAsia="Calibri" w:hAnsi="Calibri" w:cs="Calibri"/>
                <w:color w:val="000000"/>
                <w:sz w:val="22"/>
                <w:szCs w:val="22"/>
              </w:rPr>
              <w:t xml:space="preserve">Experience working with governments, donors, civil society organizations. </w:t>
            </w:r>
          </w:p>
          <w:p w:rsidR="00DA4531" w:rsidRPr="00E227D0" w:rsidRDefault="00DA4531" w:rsidP="00E227D0">
            <w:pPr>
              <w:pStyle w:val="ListParagraph"/>
              <w:numPr>
                <w:ilvl w:val="0"/>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sidRPr="00E227D0">
              <w:rPr>
                <w:rFonts w:ascii="Calibri" w:eastAsia="Calibri" w:hAnsi="Calibri" w:cs="Calibri"/>
                <w:color w:val="000000"/>
                <w:sz w:val="22"/>
                <w:szCs w:val="22"/>
              </w:rPr>
              <w:t xml:space="preserve">Proven experience supporting partnerships  </w:t>
            </w:r>
          </w:p>
          <w:p w:rsidR="00DA4531" w:rsidRPr="00E227D0" w:rsidRDefault="00DA4531" w:rsidP="00E227D0">
            <w:pPr>
              <w:pStyle w:val="ListParagraph"/>
              <w:numPr>
                <w:ilvl w:val="0"/>
                <w:numId w:val="13"/>
              </w:numPr>
              <w:pBdr>
                <w:top w:val="nil"/>
                <w:left w:val="nil"/>
                <w:bottom w:val="nil"/>
                <w:right w:val="nil"/>
                <w:between w:val="nil"/>
              </w:pBdr>
              <w:spacing w:line="276" w:lineRule="auto"/>
              <w:jc w:val="both"/>
              <w:rPr>
                <w:rFonts w:ascii="Calibri" w:eastAsia="Calibri" w:hAnsi="Calibri" w:cs="Calibri"/>
                <w:color w:val="000000"/>
                <w:sz w:val="22"/>
                <w:szCs w:val="22"/>
              </w:rPr>
            </w:pPr>
            <w:proofErr w:type="gramStart"/>
            <w:r w:rsidRPr="00E227D0">
              <w:rPr>
                <w:rFonts w:ascii="Calibri" w:eastAsia="Calibri" w:hAnsi="Calibri" w:cs="Calibri"/>
                <w:color w:val="000000"/>
                <w:sz w:val="22"/>
                <w:szCs w:val="22"/>
              </w:rPr>
              <w:t>Experience and sound knowledge in Monitoring and Evaluation, Results based Management</w:t>
            </w:r>
            <w:proofErr w:type="gramEnd"/>
            <w:r w:rsidRPr="00E227D0">
              <w:rPr>
                <w:rFonts w:ascii="Calibri" w:eastAsia="Calibri" w:hAnsi="Calibri" w:cs="Calibri"/>
                <w:color w:val="000000"/>
                <w:sz w:val="22"/>
                <w:szCs w:val="22"/>
              </w:rPr>
              <w:t xml:space="preserve">, </w:t>
            </w:r>
            <w:proofErr w:type="gramStart"/>
            <w:r w:rsidRPr="00E227D0">
              <w:rPr>
                <w:rFonts w:ascii="Calibri" w:eastAsia="Calibri" w:hAnsi="Calibri" w:cs="Calibri"/>
                <w:color w:val="000000"/>
                <w:sz w:val="22"/>
                <w:szCs w:val="22"/>
              </w:rPr>
              <w:t>Human Rights based Approach</w:t>
            </w:r>
            <w:proofErr w:type="gramEnd"/>
            <w:r w:rsidRPr="00E227D0">
              <w:rPr>
                <w:rFonts w:ascii="Calibri" w:eastAsia="Calibri" w:hAnsi="Calibri" w:cs="Calibri"/>
                <w:color w:val="000000"/>
                <w:sz w:val="22"/>
                <w:szCs w:val="22"/>
              </w:rPr>
              <w:t>.</w:t>
            </w:r>
          </w:p>
          <w:p w:rsidR="00DA4531" w:rsidRPr="00E227D0" w:rsidRDefault="00DA4531" w:rsidP="00E227D0">
            <w:pPr>
              <w:pStyle w:val="ListParagraph"/>
              <w:numPr>
                <w:ilvl w:val="0"/>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sidRPr="00E227D0">
              <w:rPr>
                <w:rFonts w:ascii="Calibri" w:eastAsia="Calibri" w:hAnsi="Calibri" w:cs="Calibri"/>
                <w:color w:val="000000"/>
                <w:sz w:val="22"/>
                <w:szCs w:val="22"/>
              </w:rPr>
              <w:t xml:space="preserve">Experience in developing countries. </w:t>
            </w:r>
          </w:p>
          <w:p w:rsidR="00DA4531" w:rsidRPr="00E227D0" w:rsidRDefault="00DA4531" w:rsidP="00E227D0">
            <w:pPr>
              <w:pStyle w:val="ListParagraph"/>
              <w:numPr>
                <w:ilvl w:val="0"/>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sidRPr="00E227D0">
              <w:rPr>
                <w:rFonts w:ascii="Calibri" w:eastAsia="Calibri" w:hAnsi="Calibri" w:cs="Calibri"/>
                <w:color w:val="000000"/>
                <w:sz w:val="22"/>
                <w:szCs w:val="22"/>
              </w:rPr>
              <w:t>Previous experience with the UN and specifically UNFPA is an asset.</w:t>
            </w:r>
          </w:p>
          <w:p w:rsidR="00DA4531" w:rsidRPr="00E227D0" w:rsidRDefault="00DA4531" w:rsidP="00E227D0">
            <w:pPr>
              <w:pStyle w:val="ListParagraph"/>
              <w:numPr>
                <w:ilvl w:val="0"/>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sidRPr="00E227D0">
              <w:rPr>
                <w:rFonts w:ascii="Calibri" w:eastAsia="Calibri" w:hAnsi="Calibri" w:cs="Calibri"/>
                <w:color w:val="000000"/>
                <w:sz w:val="22"/>
                <w:szCs w:val="22"/>
              </w:rPr>
              <w:t xml:space="preserve">Experience working at joint UN programmes/projects </w:t>
            </w:r>
            <w:proofErr w:type="gramStart"/>
            <w:r w:rsidRPr="00E227D0">
              <w:rPr>
                <w:rFonts w:ascii="Calibri" w:eastAsia="Calibri" w:hAnsi="Calibri" w:cs="Calibri"/>
                <w:color w:val="000000"/>
                <w:sz w:val="22"/>
                <w:szCs w:val="22"/>
              </w:rPr>
              <w:t>is considered</w:t>
            </w:r>
            <w:proofErr w:type="gramEnd"/>
            <w:r w:rsidRPr="00E227D0">
              <w:rPr>
                <w:rFonts w:ascii="Calibri" w:eastAsia="Calibri" w:hAnsi="Calibri" w:cs="Calibri"/>
                <w:color w:val="000000"/>
                <w:sz w:val="22"/>
                <w:szCs w:val="22"/>
              </w:rPr>
              <w:t xml:space="preserve"> an asset.</w:t>
            </w:r>
          </w:p>
          <w:p w:rsidR="00DA4531" w:rsidRPr="00E227D0" w:rsidRDefault="00DA4531" w:rsidP="00E227D0">
            <w:pPr>
              <w:pStyle w:val="ListParagraph"/>
              <w:numPr>
                <w:ilvl w:val="0"/>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sidRPr="00E227D0">
              <w:rPr>
                <w:rFonts w:ascii="Calibri" w:eastAsia="Calibri" w:hAnsi="Calibri" w:cs="Calibri"/>
                <w:color w:val="000000"/>
                <w:sz w:val="22"/>
                <w:szCs w:val="22"/>
              </w:rPr>
              <w:t xml:space="preserve">Experience developing practical guides and adolescent and youth friendly toolkits to increase the participation of women, adolescents, and youth with disabilities </w:t>
            </w:r>
          </w:p>
          <w:p w:rsidR="00DA4531" w:rsidRPr="00E227D0" w:rsidRDefault="00DA4531" w:rsidP="00E227D0">
            <w:pPr>
              <w:pBdr>
                <w:top w:val="nil"/>
                <w:left w:val="nil"/>
                <w:bottom w:val="nil"/>
                <w:right w:val="nil"/>
                <w:between w:val="nil"/>
              </w:pBdr>
              <w:spacing w:line="276" w:lineRule="auto"/>
              <w:ind w:left="360"/>
              <w:jc w:val="both"/>
              <w:rPr>
                <w:rFonts w:ascii="Calibri" w:eastAsia="Calibri" w:hAnsi="Calibri" w:cs="Calibri"/>
                <w:b/>
                <w:color w:val="000000"/>
                <w:sz w:val="22"/>
                <w:szCs w:val="22"/>
              </w:rPr>
            </w:pPr>
            <w:r w:rsidRPr="00E227D0">
              <w:rPr>
                <w:rFonts w:ascii="Calibri" w:eastAsia="Calibri" w:hAnsi="Calibri" w:cs="Calibri"/>
                <w:b/>
                <w:color w:val="000000"/>
                <w:sz w:val="22"/>
                <w:szCs w:val="22"/>
              </w:rPr>
              <w:lastRenderedPageBreak/>
              <w:t>Languages:</w:t>
            </w:r>
          </w:p>
          <w:p w:rsidR="00DA4531" w:rsidRPr="00E227D0" w:rsidRDefault="00DA4531" w:rsidP="00E227D0">
            <w:pPr>
              <w:pStyle w:val="ListParagraph"/>
              <w:numPr>
                <w:ilvl w:val="0"/>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sidRPr="00E227D0">
              <w:rPr>
                <w:rFonts w:ascii="Calibri" w:eastAsia="Calibri" w:hAnsi="Calibri" w:cs="Calibri"/>
                <w:color w:val="000000"/>
                <w:sz w:val="22"/>
                <w:szCs w:val="22"/>
              </w:rPr>
              <w:t xml:space="preserve">Fluency in oral and written English. </w:t>
            </w:r>
          </w:p>
          <w:p w:rsidR="00DA4531" w:rsidRPr="00E227D0" w:rsidRDefault="00DA4531" w:rsidP="00E227D0">
            <w:pPr>
              <w:pStyle w:val="ListParagraph"/>
              <w:numPr>
                <w:ilvl w:val="0"/>
                <w:numId w:val="13"/>
              </w:numPr>
              <w:pBdr>
                <w:top w:val="nil"/>
                <w:left w:val="nil"/>
                <w:bottom w:val="nil"/>
                <w:right w:val="nil"/>
                <w:between w:val="nil"/>
              </w:pBdr>
              <w:spacing w:line="276" w:lineRule="auto"/>
              <w:jc w:val="both"/>
              <w:rPr>
                <w:rFonts w:ascii="Calibri" w:eastAsia="Calibri" w:hAnsi="Calibri" w:cs="Calibri"/>
                <w:b/>
                <w:color w:val="000000"/>
                <w:sz w:val="22"/>
                <w:szCs w:val="22"/>
              </w:rPr>
            </w:pPr>
            <w:r w:rsidRPr="00E227D0">
              <w:rPr>
                <w:rFonts w:ascii="Calibri" w:eastAsia="Calibri" w:hAnsi="Calibri" w:cs="Calibri"/>
                <w:b/>
                <w:color w:val="000000"/>
                <w:sz w:val="22"/>
                <w:szCs w:val="22"/>
              </w:rPr>
              <w:t>Computer skills:</w:t>
            </w:r>
          </w:p>
          <w:p w:rsidR="0033318D" w:rsidRPr="00E227D0" w:rsidRDefault="00DA4531" w:rsidP="00E227D0">
            <w:pPr>
              <w:pStyle w:val="ListParagraph"/>
              <w:numPr>
                <w:ilvl w:val="0"/>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sidRPr="00E227D0">
              <w:rPr>
                <w:rFonts w:ascii="Calibri" w:eastAsia="Calibri" w:hAnsi="Calibri" w:cs="Calibri"/>
                <w:color w:val="000000"/>
                <w:sz w:val="22"/>
                <w:szCs w:val="22"/>
              </w:rPr>
              <w:t>Proficiency in current office software applications and statistical programmes, such as SPSS, Stata or others.  Experience of using spatial software is an asset.</w:t>
            </w:r>
            <w:bookmarkStart w:id="0" w:name="_heading=h.gjdgxs" w:colFirst="0" w:colLast="0"/>
            <w:bookmarkEnd w:id="0"/>
          </w:p>
        </w:tc>
      </w:tr>
      <w:tr w:rsidR="0033318D" w:rsidTr="00E227D0">
        <w:trPr>
          <w:trHeight w:val="127"/>
        </w:trPr>
        <w:tc>
          <w:tcPr>
            <w:tcW w:w="2278" w:type="dxa"/>
            <w:tcBorders>
              <w:top w:val="single" w:sz="6" w:space="0" w:color="000000"/>
              <w:left w:val="single" w:sz="6" w:space="0" w:color="000000"/>
              <w:bottom w:val="single" w:sz="6" w:space="0" w:color="000000"/>
            </w:tcBorders>
          </w:tcPr>
          <w:p w:rsidR="0033318D" w:rsidRDefault="00680499">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lastRenderedPageBreak/>
              <w:t>Inputs / services to be provided by UNFPA or implementing partner:</w:t>
            </w:r>
          </w:p>
        </w:tc>
        <w:tc>
          <w:tcPr>
            <w:tcW w:w="7560" w:type="dxa"/>
            <w:tcBorders>
              <w:top w:val="single" w:sz="6" w:space="0" w:color="000000"/>
              <w:left w:val="single" w:sz="6" w:space="0" w:color="000000"/>
              <w:bottom w:val="single" w:sz="6" w:space="0" w:color="000000"/>
              <w:right w:val="single" w:sz="6" w:space="0" w:color="000000"/>
            </w:tcBorders>
          </w:tcPr>
          <w:p w:rsidR="0033318D" w:rsidRDefault="00680499" w:rsidP="00F86421">
            <w:pPr>
              <w:rPr>
                <w:rFonts w:ascii="Calibri" w:eastAsia="Calibri" w:hAnsi="Calibri" w:cs="Calibri"/>
                <w:sz w:val="22"/>
                <w:szCs w:val="22"/>
              </w:rPr>
            </w:pPr>
            <w:r w:rsidRPr="00342395">
              <w:rPr>
                <w:rFonts w:ascii="Calibri" w:eastAsia="Calibri" w:hAnsi="Calibri" w:cs="Calibri"/>
                <w:sz w:val="22"/>
                <w:szCs w:val="22"/>
              </w:rPr>
              <w:t>Office space: The consultant will be responsible for arranging her/his own computer and oth</w:t>
            </w:r>
            <w:r w:rsidR="00E22EAF" w:rsidRPr="00342395">
              <w:rPr>
                <w:rFonts w:ascii="Calibri" w:eastAsia="Calibri" w:hAnsi="Calibri" w:cs="Calibri"/>
                <w:sz w:val="22"/>
                <w:szCs w:val="22"/>
              </w:rPr>
              <w:t xml:space="preserve">er working aid equipment. Depending on </w:t>
            </w:r>
            <w:r w:rsidR="005B31FB" w:rsidRPr="00342395">
              <w:rPr>
                <w:rFonts w:ascii="Calibri" w:eastAsia="Calibri" w:hAnsi="Calibri" w:cs="Calibri"/>
                <w:sz w:val="22"/>
                <w:szCs w:val="22"/>
              </w:rPr>
              <w:t xml:space="preserve">UNFPA Cox’s Bazar </w:t>
            </w:r>
            <w:r w:rsidR="00E22EAF" w:rsidRPr="00342395">
              <w:rPr>
                <w:rFonts w:ascii="Calibri" w:eastAsia="Calibri" w:hAnsi="Calibri" w:cs="Calibri"/>
                <w:sz w:val="22"/>
                <w:szCs w:val="22"/>
              </w:rPr>
              <w:t xml:space="preserve">office arrangements during the period of </w:t>
            </w:r>
            <w:r w:rsidR="005B31FB" w:rsidRPr="00342395">
              <w:rPr>
                <w:rFonts w:ascii="Calibri" w:eastAsia="Calibri" w:hAnsi="Calibri" w:cs="Calibri"/>
                <w:sz w:val="22"/>
                <w:szCs w:val="22"/>
              </w:rPr>
              <w:t>consultancy</w:t>
            </w:r>
            <w:r w:rsidR="00E22EAF" w:rsidRPr="00342395">
              <w:rPr>
                <w:rFonts w:ascii="Calibri" w:eastAsia="Calibri" w:hAnsi="Calibri" w:cs="Calibri"/>
                <w:sz w:val="22"/>
                <w:szCs w:val="22"/>
              </w:rPr>
              <w:t xml:space="preserve">, consultant might be required to work either from home location in Cox’s </w:t>
            </w:r>
            <w:proofErr w:type="gramStart"/>
            <w:r w:rsidR="00E22EAF" w:rsidRPr="00342395">
              <w:rPr>
                <w:rFonts w:ascii="Calibri" w:eastAsia="Calibri" w:hAnsi="Calibri" w:cs="Calibri"/>
                <w:sz w:val="22"/>
                <w:szCs w:val="22"/>
              </w:rPr>
              <w:t>Bazar or office</w:t>
            </w:r>
            <w:proofErr w:type="gramEnd"/>
            <w:r w:rsidR="00E22EAF" w:rsidRPr="00342395">
              <w:rPr>
                <w:rFonts w:ascii="Calibri" w:eastAsia="Calibri" w:hAnsi="Calibri" w:cs="Calibri"/>
                <w:sz w:val="22"/>
                <w:szCs w:val="22"/>
              </w:rPr>
              <w:t xml:space="preserve"> or follow rotational arrangements if in place</w:t>
            </w:r>
            <w:r w:rsidR="00342395">
              <w:rPr>
                <w:rFonts w:ascii="Calibri" w:eastAsia="Calibri" w:hAnsi="Calibri" w:cs="Calibri"/>
                <w:sz w:val="22"/>
                <w:szCs w:val="22"/>
              </w:rPr>
              <w:t xml:space="preserve"> due to COVID19 pandemic</w:t>
            </w:r>
            <w:r w:rsidRPr="00342395">
              <w:rPr>
                <w:rFonts w:ascii="Calibri" w:eastAsia="Calibri" w:hAnsi="Calibri" w:cs="Calibri"/>
                <w:sz w:val="22"/>
                <w:szCs w:val="22"/>
              </w:rPr>
              <w:t>.</w:t>
            </w:r>
            <w:r>
              <w:rPr>
                <w:rFonts w:ascii="Calibri" w:eastAsia="Calibri" w:hAnsi="Calibri" w:cs="Calibri"/>
                <w:sz w:val="22"/>
                <w:szCs w:val="22"/>
              </w:rPr>
              <w:t xml:space="preserve"> </w:t>
            </w:r>
          </w:p>
        </w:tc>
      </w:tr>
      <w:tr w:rsidR="0033318D" w:rsidTr="00E227D0">
        <w:trPr>
          <w:trHeight w:val="507"/>
        </w:trPr>
        <w:tc>
          <w:tcPr>
            <w:tcW w:w="2278" w:type="dxa"/>
            <w:tcBorders>
              <w:top w:val="single" w:sz="6" w:space="0" w:color="000000"/>
              <w:left w:val="single" w:sz="6" w:space="0" w:color="000000"/>
              <w:bottom w:val="single" w:sz="6" w:space="0" w:color="000000"/>
            </w:tcBorders>
          </w:tcPr>
          <w:p w:rsidR="0033318D" w:rsidRDefault="00680499">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t xml:space="preserve">Payment Instruction: </w:t>
            </w:r>
          </w:p>
        </w:tc>
        <w:tc>
          <w:tcPr>
            <w:tcW w:w="7560" w:type="dxa"/>
            <w:tcBorders>
              <w:top w:val="single" w:sz="6" w:space="0" w:color="000000"/>
              <w:left w:val="single" w:sz="6" w:space="0" w:color="000000"/>
              <w:bottom w:val="single" w:sz="6" w:space="0" w:color="000000"/>
              <w:right w:val="single" w:sz="6" w:space="0" w:color="000000"/>
            </w:tcBorders>
          </w:tcPr>
          <w:p w:rsidR="0033318D" w:rsidRDefault="00E22EAF">
            <w:pPr>
              <w:tabs>
                <w:tab w:val="left" w:pos="-720"/>
              </w:tabs>
              <w:spacing w:before="40" w:after="54" w:line="276" w:lineRule="auto"/>
              <w:rPr>
                <w:rFonts w:ascii="Calibri" w:eastAsia="Calibri" w:hAnsi="Calibri" w:cs="Calibri"/>
                <w:sz w:val="22"/>
                <w:szCs w:val="22"/>
              </w:rPr>
            </w:pPr>
            <w:r w:rsidRPr="003A2F2C">
              <w:rPr>
                <w:rFonts w:ascii="Calibri" w:eastAsia="Calibri" w:hAnsi="Calibri" w:cs="Calibri"/>
                <w:sz w:val="22"/>
                <w:szCs w:val="22"/>
              </w:rPr>
              <w:t xml:space="preserve">Payment </w:t>
            </w:r>
            <w:proofErr w:type="gramStart"/>
            <w:r w:rsidRPr="003A2F2C">
              <w:rPr>
                <w:rFonts w:ascii="Calibri" w:eastAsia="Calibri" w:hAnsi="Calibri" w:cs="Calibri"/>
                <w:sz w:val="22"/>
                <w:szCs w:val="22"/>
              </w:rPr>
              <w:t>will be made</w:t>
            </w:r>
            <w:proofErr w:type="gramEnd"/>
            <w:r w:rsidRPr="003A2F2C">
              <w:rPr>
                <w:rFonts w:ascii="Calibri" w:eastAsia="Calibri" w:hAnsi="Calibri" w:cs="Calibri"/>
                <w:sz w:val="22"/>
                <w:szCs w:val="22"/>
              </w:rPr>
              <w:t xml:space="preserve"> on a monthly basis based on the actual numbers of days worked related to the deliverables as established in the work plan.    </w:t>
            </w:r>
          </w:p>
        </w:tc>
      </w:tr>
      <w:tr w:rsidR="0033318D" w:rsidTr="00E227D0">
        <w:trPr>
          <w:trHeight w:val="91"/>
        </w:trPr>
        <w:tc>
          <w:tcPr>
            <w:tcW w:w="2278" w:type="dxa"/>
            <w:tcBorders>
              <w:top w:val="single" w:sz="6" w:space="0" w:color="000000"/>
              <w:left w:val="single" w:sz="6" w:space="0" w:color="000000"/>
              <w:bottom w:val="single" w:sz="6" w:space="0" w:color="000000"/>
            </w:tcBorders>
          </w:tcPr>
          <w:p w:rsidR="0033318D" w:rsidRDefault="00680499">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t xml:space="preserve">Level of the Consultant:  </w:t>
            </w:r>
          </w:p>
        </w:tc>
        <w:tc>
          <w:tcPr>
            <w:tcW w:w="7560" w:type="dxa"/>
            <w:tcBorders>
              <w:top w:val="single" w:sz="6" w:space="0" w:color="000000"/>
              <w:left w:val="single" w:sz="6" w:space="0" w:color="000000"/>
              <w:bottom w:val="single" w:sz="6" w:space="0" w:color="000000"/>
              <w:right w:val="single" w:sz="6" w:space="0" w:color="000000"/>
            </w:tcBorders>
          </w:tcPr>
          <w:p w:rsidR="0033318D" w:rsidRDefault="00680499">
            <w:pPr>
              <w:tabs>
                <w:tab w:val="left" w:pos="-720"/>
              </w:tabs>
              <w:spacing w:before="40" w:after="54" w:line="276" w:lineRule="auto"/>
              <w:rPr>
                <w:rFonts w:ascii="Calibri" w:eastAsia="Calibri" w:hAnsi="Calibri" w:cs="Calibri"/>
                <w:sz w:val="22"/>
                <w:szCs w:val="22"/>
              </w:rPr>
            </w:pPr>
            <w:r>
              <w:rPr>
                <w:rFonts w:ascii="Calibri" w:eastAsia="Calibri" w:hAnsi="Calibri" w:cs="Calibri"/>
                <w:sz w:val="22"/>
                <w:szCs w:val="22"/>
              </w:rPr>
              <w:t>Commensurable to the qualification and experience of the selected Consultant as per the IC guideline.</w:t>
            </w:r>
          </w:p>
        </w:tc>
      </w:tr>
      <w:tr w:rsidR="0033318D" w:rsidTr="00E227D0">
        <w:trPr>
          <w:trHeight w:val="76"/>
        </w:trPr>
        <w:tc>
          <w:tcPr>
            <w:tcW w:w="2278" w:type="dxa"/>
            <w:tcBorders>
              <w:top w:val="single" w:sz="6" w:space="0" w:color="000000"/>
              <w:left w:val="single" w:sz="6" w:space="0" w:color="000000"/>
              <w:bottom w:val="single" w:sz="6" w:space="0" w:color="000000"/>
            </w:tcBorders>
          </w:tcPr>
          <w:p w:rsidR="0033318D" w:rsidRDefault="00680499">
            <w:pPr>
              <w:tabs>
                <w:tab w:val="left" w:pos="-720"/>
              </w:tabs>
              <w:spacing w:line="276" w:lineRule="auto"/>
              <w:rPr>
                <w:rFonts w:ascii="Calibri" w:eastAsia="Calibri" w:hAnsi="Calibri" w:cs="Calibri"/>
                <w:sz w:val="22"/>
                <w:szCs w:val="22"/>
              </w:rPr>
            </w:pPr>
            <w:r>
              <w:rPr>
                <w:rFonts w:ascii="Calibri" w:eastAsia="Calibri" w:hAnsi="Calibri" w:cs="Calibri"/>
                <w:sz w:val="22"/>
                <w:szCs w:val="22"/>
              </w:rPr>
              <w:t>Other relevant information or special conditions, if any:</w:t>
            </w:r>
          </w:p>
        </w:tc>
        <w:tc>
          <w:tcPr>
            <w:tcW w:w="7560" w:type="dxa"/>
            <w:tcBorders>
              <w:top w:val="single" w:sz="6" w:space="0" w:color="000000"/>
              <w:left w:val="single" w:sz="6" w:space="0" w:color="000000"/>
              <w:bottom w:val="single" w:sz="6" w:space="0" w:color="000000"/>
              <w:right w:val="single" w:sz="6" w:space="0" w:color="000000"/>
            </w:tcBorders>
          </w:tcPr>
          <w:p w:rsidR="0033318D" w:rsidRDefault="0033318D">
            <w:pPr>
              <w:tabs>
                <w:tab w:val="left" w:pos="-720"/>
              </w:tabs>
              <w:spacing w:line="276" w:lineRule="auto"/>
              <w:rPr>
                <w:rFonts w:ascii="Calibri" w:eastAsia="Calibri" w:hAnsi="Calibri" w:cs="Calibri"/>
                <w:sz w:val="22"/>
                <w:szCs w:val="22"/>
              </w:rPr>
            </w:pPr>
          </w:p>
          <w:p w:rsidR="0033318D" w:rsidRDefault="00680499">
            <w:pPr>
              <w:tabs>
                <w:tab w:val="left" w:pos="-720"/>
              </w:tabs>
              <w:spacing w:line="276" w:lineRule="auto"/>
              <w:rPr>
                <w:rFonts w:ascii="Calibri" w:eastAsia="Calibri" w:hAnsi="Calibri" w:cs="Calibri"/>
                <w:sz w:val="22"/>
                <w:szCs w:val="22"/>
              </w:rPr>
            </w:pPr>
            <w:r>
              <w:rPr>
                <w:rFonts w:ascii="Calibri" w:eastAsia="Calibri" w:hAnsi="Calibri" w:cs="Calibri"/>
                <w:sz w:val="22"/>
                <w:szCs w:val="22"/>
              </w:rPr>
              <w:t xml:space="preserve">Working arrangement will be 40 hours/week </w:t>
            </w:r>
          </w:p>
          <w:p w:rsidR="0033318D" w:rsidRDefault="0033318D">
            <w:pPr>
              <w:tabs>
                <w:tab w:val="left" w:pos="-720"/>
              </w:tabs>
              <w:spacing w:line="276" w:lineRule="auto"/>
              <w:rPr>
                <w:rFonts w:ascii="Calibri" w:eastAsia="Calibri" w:hAnsi="Calibri" w:cs="Calibri"/>
                <w:sz w:val="22"/>
                <w:szCs w:val="22"/>
              </w:rPr>
            </w:pPr>
          </w:p>
        </w:tc>
      </w:tr>
      <w:tr w:rsidR="0033318D" w:rsidRPr="00F23B1F" w:rsidTr="00E227D0">
        <w:trPr>
          <w:trHeight w:val="363"/>
        </w:trPr>
        <w:tc>
          <w:tcPr>
            <w:tcW w:w="2278" w:type="dxa"/>
            <w:tcBorders>
              <w:top w:val="single" w:sz="6" w:space="0" w:color="000000"/>
              <w:left w:val="single" w:sz="6" w:space="0" w:color="000000"/>
              <w:bottom w:val="single" w:sz="6" w:space="0" w:color="000000"/>
            </w:tcBorders>
          </w:tcPr>
          <w:p w:rsidR="0033318D" w:rsidRDefault="00680499">
            <w:pPr>
              <w:tabs>
                <w:tab w:val="left" w:pos="-720"/>
              </w:tabs>
              <w:spacing w:line="276" w:lineRule="auto"/>
              <w:rPr>
                <w:rFonts w:ascii="Calibri" w:eastAsia="Calibri" w:hAnsi="Calibri" w:cs="Calibri"/>
                <w:sz w:val="22"/>
                <w:szCs w:val="22"/>
              </w:rPr>
            </w:pPr>
            <w:r>
              <w:rPr>
                <w:rFonts w:ascii="Calibri" w:eastAsia="Calibri" w:hAnsi="Calibri" w:cs="Calibri"/>
                <w:sz w:val="22"/>
                <w:szCs w:val="22"/>
              </w:rPr>
              <w:t>COA</w:t>
            </w:r>
          </w:p>
        </w:tc>
        <w:tc>
          <w:tcPr>
            <w:tcW w:w="7560" w:type="dxa"/>
            <w:tcBorders>
              <w:top w:val="single" w:sz="6" w:space="0" w:color="000000"/>
              <w:left w:val="single" w:sz="6" w:space="0" w:color="000000"/>
              <w:bottom w:val="single" w:sz="6" w:space="0" w:color="000000"/>
              <w:right w:val="single" w:sz="6" w:space="0" w:color="000000"/>
            </w:tcBorders>
          </w:tcPr>
          <w:p w:rsidR="0033318D" w:rsidRPr="00F23B1F" w:rsidRDefault="0044645F" w:rsidP="0044645F">
            <w:pPr>
              <w:tabs>
                <w:tab w:val="left" w:pos="-720"/>
              </w:tabs>
              <w:spacing w:line="276" w:lineRule="auto"/>
              <w:rPr>
                <w:rFonts w:ascii="Calibri" w:eastAsia="Calibri" w:hAnsi="Calibri" w:cs="Calibri"/>
                <w:sz w:val="22"/>
                <w:szCs w:val="22"/>
                <w:lang w:val="sv-SE"/>
              </w:rPr>
            </w:pPr>
            <w:r w:rsidRPr="00F23B1F">
              <w:rPr>
                <w:rFonts w:ascii="Calibri" w:eastAsia="Calibri" w:hAnsi="Calibri" w:cs="Calibri"/>
                <w:sz w:val="22"/>
                <w:szCs w:val="22"/>
                <w:lang w:val="sv-SE"/>
              </w:rPr>
              <w:t>DFAT via RedR Standby Partner roster arrangements</w:t>
            </w:r>
          </w:p>
        </w:tc>
      </w:tr>
      <w:tr w:rsidR="005B31FB">
        <w:trPr>
          <w:trHeight w:val="76"/>
        </w:trPr>
        <w:tc>
          <w:tcPr>
            <w:tcW w:w="9838" w:type="dxa"/>
            <w:gridSpan w:val="2"/>
            <w:tcBorders>
              <w:top w:val="single" w:sz="6" w:space="0" w:color="000000"/>
              <w:left w:val="single" w:sz="6" w:space="0" w:color="000000"/>
              <w:bottom w:val="single" w:sz="6" w:space="0" w:color="000000"/>
              <w:right w:val="single" w:sz="6" w:space="0" w:color="000000"/>
            </w:tcBorders>
          </w:tcPr>
          <w:p w:rsidR="005B31FB" w:rsidRPr="006706F4" w:rsidRDefault="005B31FB" w:rsidP="005B31FB">
            <w:pPr>
              <w:tabs>
                <w:tab w:val="left" w:pos="-720"/>
              </w:tabs>
              <w:rPr>
                <w:b/>
                <w:sz w:val="20"/>
                <w:szCs w:val="20"/>
              </w:rPr>
            </w:pPr>
            <w:bookmarkStart w:id="1" w:name="_GoBack"/>
            <w:bookmarkEnd w:id="1"/>
            <w:r w:rsidRPr="006706F4">
              <w:rPr>
                <w:b/>
                <w:sz w:val="20"/>
                <w:szCs w:val="20"/>
              </w:rPr>
              <w:t>Application instruction:</w:t>
            </w:r>
          </w:p>
          <w:p w:rsidR="005B31FB" w:rsidRPr="00A06557" w:rsidRDefault="005B31FB" w:rsidP="005B31FB">
            <w:pPr>
              <w:tabs>
                <w:tab w:val="left" w:pos="-720"/>
              </w:tabs>
              <w:rPr>
                <w:sz w:val="20"/>
                <w:szCs w:val="20"/>
              </w:rPr>
            </w:pPr>
          </w:p>
          <w:p w:rsidR="006706F4" w:rsidRDefault="005B31FB" w:rsidP="005B31FB">
            <w:pPr>
              <w:tabs>
                <w:tab w:val="left" w:pos="-720"/>
              </w:tabs>
              <w:rPr>
                <w:sz w:val="20"/>
                <w:szCs w:val="20"/>
              </w:rPr>
            </w:pPr>
            <w:r w:rsidRPr="00A06557">
              <w:rPr>
                <w:sz w:val="20"/>
                <w:szCs w:val="20"/>
              </w:rPr>
              <w:t>Applicants with the required qualifications and experience stated above (required expertise, qualifications</w:t>
            </w:r>
            <w:r>
              <w:rPr>
                <w:sz w:val="20"/>
                <w:szCs w:val="20"/>
              </w:rPr>
              <w:t xml:space="preserve"> </w:t>
            </w:r>
            <w:r w:rsidRPr="00A06557">
              <w:rPr>
                <w:sz w:val="20"/>
                <w:szCs w:val="20"/>
              </w:rPr>
              <w:t xml:space="preserve">and competencies, including language requirements) </w:t>
            </w:r>
            <w:r w:rsidR="006706F4">
              <w:rPr>
                <w:sz w:val="20"/>
                <w:szCs w:val="20"/>
              </w:rPr>
              <w:t xml:space="preserve">should </w:t>
            </w:r>
            <w:r w:rsidR="006706F4" w:rsidRPr="006706F4">
              <w:rPr>
                <w:sz w:val="20"/>
                <w:szCs w:val="20"/>
              </w:rPr>
              <w:t xml:space="preserve">forward </w:t>
            </w:r>
            <w:r w:rsidR="006706F4">
              <w:rPr>
                <w:sz w:val="20"/>
                <w:szCs w:val="20"/>
              </w:rPr>
              <w:t xml:space="preserve">their </w:t>
            </w:r>
            <w:r w:rsidR="006706F4" w:rsidRPr="006706F4">
              <w:rPr>
                <w:sz w:val="20"/>
                <w:szCs w:val="20"/>
              </w:rPr>
              <w:t xml:space="preserve">application using </w:t>
            </w:r>
            <w:r w:rsidR="006706F4" w:rsidRPr="00DE296D">
              <w:rPr>
                <w:b/>
                <w:sz w:val="20"/>
                <w:szCs w:val="20"/>
              </w:rPr>
              <w:t>Google Forms platform only</w:t>
            </w:r>
            <w:r w:rsidR="006706F4">
              <w:rPr>
                <w:sz w:val="20"/>
                <w:szCs w:val="20"/>
              </w:rPr>
              <w:t xml:space="preserve">, following below link (copy and paste into Google Chrome browser) </w:t>
            </w:r>
          </w:p>
          <w:p w:rsidR="006706F4" w:rsidRDefault="006706F4" w:rsidP="005B31FB">
            <w:pPr>
              <w:tabs>
                <w:tab w:val="left" w:pos="-720"/>
              </w:tabs>
              <w:rPr>
                <w:sz w:val="20"/>
                <w:szCs w:val="20"/>
              </w:rPr>
            </w:pPr>
          </w:p>
          <w:p w:rsidR="006706F4" w:rsidRDefault="006706F4" w:rsidP="005B31FB">
            <w:pPr>
              <w:tabs>
                <w:tab w:val="left" w:pos="-720"/>
              </w:tabs>
              <w:rPr>
                <w:b/>
                <w:sz w:val="20"/>
                <w:szCs w:val="20"/>
              </w:rPr>
            </w:pPr>
            <w:r>
              <w:rPr>
                <w:sz w:val="20"/>
                <w:szCs w:val="20"/>
              </w:rPr>
              <w:t xml:space="preserve">Link to Google Form: </w:t>
            </w:r>
            <w:hyperlink r:id="rId10" w:history="1">
              <w:r w:rsidRPr="006B034B">
                <w:rPr>
                  <w:rStyle w:val="Hyperlink"/>
                  <w:b/>
                  <w:sz w:val="20"/>
                  <w:szCs w:val="20"/>
                </w:rPr>
                <w:t>https://forms.gle/Stt2urwqTUNf2mRA7</w:t>
              </w:r>
            </w:hyperlink>
          </w:p>
          <w:p w:rsidR="006706F4" w:rsidRDefault="006706F4" w:rsidP="005B31FB">
            <w:pPr>
              <w:tabs>
                <w:tab w:val="left" w:pos="-720"/>
              </w:tabs>
              <w:rPr>
                <w:sz w:val="20"/>
                <w:szCs w:val="20"/>
              </w:rPr>
            </w:pPr>
          </w:p>
          <w:p w:rsidR="006706F4" w:rsidRDefault="006706F4" w:rsidP="005B31FB">
            <w:pPr>
              <w:tabs>
                <w:tab w:val="left" w:pos="-720"/>
              </w:tabs>
              <w:rPr>
                <w:b/>
                <w:sz w:val="20"/>
                <w:szCs w:val="20"/>
              </w:rPr>
            </w:pPr>
            <w:r w:rsidRPr="006706F4">
              <w:rPr>
                <w:sz w:val="20"/>
                <w:szCs w:val="20"/>
              </w:rPr>
              <w:t xml:space="preserve">After providing, the information required on this form, you </w:t>
            </w:r>
            <w:proofErr w:type="gramStart"/>
            <w:r w:rsidRPr="006706F4">
              <w:rPr>
                <w:sz w:val="20"/>
                <w:szCs w:val="20"/>
              </w:rPr>
              <w:t>will</w:t>
            </w:r>
            <w:proofErr w:type="gramEnd"/>
            <w:r w:rsidRPr="006706F4">
              <w:rPr>
                <w:sz w:val="20"/>
                <w:szCs w:val="20"/>
              </w:rPr>
              <w:t xml:space="preserve"> be required to upload a Cover Letter and a detailed CV, for the position you are applying for. Please have them rea</w:t>
            </w:r>
            <w:r>
              <w:rPr>
                <w:sz w:val="20"/>
                <w:szCs w:val="20"/>
              </w:rPr>
              <w:t>dy, before starting to fill the</w:t>
            </w:r>
            <w:r w:rsidRPr="006706F4">
              <w:rPr>
                <w:sz w:val="20"/>
                <w:szCs w:val="20"/>
              </w:rPr>
              <w:t xml:space="preserve"> form. </w:t>
            </w:r>
          </w:p>
          <w:p w:rsidR="005B31FB" w:rsidRDefault="005B31FB" w:rsidP="005B31FB">
            <w:pPr>
              <w:tabs>
                <w:tab w:val="left" w:pos="-720"/>
              </w:tabs>
              <w:rPr>
                <w:sz w:val="20"/>
                <w:szCs w:val="20"/>
              </w:rPr>
            </w:pPr>
          </w:p>
          <w:p w:rsidR="005B31FB" w:rsidRPr="00A06557" w:rsidRDefault="005B31FB" w:rsidP="005B31FB">
            <w:pPr>
              <w:tabs>
                <w:tab w:val="left" w:pos="-720"/>
              </w:tabs>
              <w:rPr>
                <w:sz w:val="20"/>
                <w:szCs w:val="20"/>
              </w:rPr>
            </w:pPr>
            <w:r w:rsidRPr="00A06557">
              <w:rPr>
                <w:sz w:val="20"/>
                <w:szCs w:val="20"/>
              </w:rPr>
              <w:t xml:space="preserve">Note: Only those candidates who meet all qualifications and experience </w:t>
            </w:r>
            <w:proofErr w:type="gramStart"/>
            <w:r w:rsidRPr="00A06557">
              <w:rPr>
                <w:sz w:val="20"/>
                <w:szCs w:val="20"/>
              </w:rPr>
              <w:t>will be contacted</w:t>
            </w:r>
            <w:proofErr w:type="gramEnd"/>
            <w:r w:rsidRPr="00A06557">
              <w:rPr>
                <w:sz w:val="20"/>
                <w:szCs w:val="20"/>
              </w:rPr>
              <w:t xml:space="preserve"> for further</w:t>
            </w:r>
            <w:r>
              <w:rPr>
                <w:sz w:val="20"/>
                <w:szCs w:val="20"/>
              </w:rPr>
              <w:t xml:space="preserve"> </w:t>
            </w:r>
            <w:r w:rsidRPr="00A06557">
              <w:rPr>
                <w:sz w:val="20"/>
                <w:szCs w:val="20"/>
              </w:rPr>
              <w:t>consideration.</w:t>
            </w:r>
          </w:p>
          <w:p w:rsidR="005B31FB" w:rsidRDefault="005B31FB" w:rsidP="005B31FB">
            <w:pPr>
              <w:tabs>
                <w:tab w:val="left" w:pos="-720"/>
              </w:tabs>
              <w:rPr>
                <w:sz w:val="20"/>
                <w:szCs w:val="20"/>
              </w:rPr>
            </w:pPr>
            <w:r w:rsidRPr="00A06557">
              <w:rPr>
                <w:sz w:val="20"/>
                <w:szCs w:val="20"/>
              </w:rPr>
              <w:t>Female candidates are encouraged to apply.</w:t>
            </w:r>
            <w:r w:rsidR="0044645F">
              <w:rPr>
                <w:sz w:val="20"/>
                <w:szCs w:val="20"/>
              </w:rPr>
              <w:t xml:space="preserve"> </w:t>
            </w:r>
          </w:p>
          <w:p w:rsidR="0044645F" w:rsidRDefault="0044645F" w:rsidP="005B31FB">
            <w:pPr>
              <w:tabs>
                <w:tab w:val="left" w:pos="-720"/>
              </w:tabs>
              <w:rPr>
                <w:sz w:val="20"/>
                <w:szCs w:val="20"/>
              </w:rPr>
            </w:pPr>
          </w:p>
          <w:p w:rsidR="0044645F" w:rsidRPr="00F002CF" w:rsidRDefault="0044645F" w:rsidP="005B31FB">
            <w:pPr>
              <w:tabs>
                <w:tab w:val="left" w:pos="-720"/>
              </w:tabs>
              <w:rPr>
                <w:b/>
                <w:color w:val="FF0000"/>
                <w:sz w:val="20"/>
                <w:szCs w:val="20"/>
              </w:rPr>
            </w:pPr>
            <w:r w:rsidRPr="00F002CF">
              <w:rPr>
                <w:b/>
                <w:sz w:val="20"/>
                <w:szCs w:val="20"/>
              </w:rPr>
              <w:t xml:space="preserve">Disclaimer: This consultancy is under </w:t>
            </w:r>
            <w:proofErr w:type="spellStart"/>
            <w:r w:rsidRPr="00F002CF">
              <w:rPr>
                <w:b/>
                <w:sz w:val="20"/>
                <w:szCs w:val="20"/>
              </w:rPr>
              <w:t>RedR</w:t>
            </w:r>
            <w:proofErr w:type="spellEnd"/>
            <w:r w:rsidRPr="00F002CF">
              <w:rPr>
                <w:b/>
                <w:sz w:val="20"/>
                <w:szCs w:val="20"/>
              </w:rPr>
              <w:t>, UNFPA Standby Partner roster arrangements</w:t>
            </w:r>
            <w:r w:rsidRPr="00F002CF">
              <w:rPr>
                <w:b/>
                <w:color w:val="FF0000"/>
                <w:sz w:val="20"/>
                <w:szCs w:val="20"/>
                <w:highlight w:val="yellow"/>
              </w:rPr>
              <w:t xml:space="preserve"> </w:t>
            </w:r>
          </w:p>
          <w:p w:rsidR="005B31FB" w:rsidRPr="00A06557" w:rsidRDefault="005B31FB" w:rsidP="005B31FB">
            <w:pPr>
              <w:tabs>
                <w:tab w:val="left" w:pos="-720"/>
              </w:tabs>
              <w:rPr>
                <w:sz w:val="20"/>
                <w:szCs w:val="20"/>
              </w:rPr>
            </w:pPr>
          </w:p>
          <w:p w:rsidR="005B31FB" w:rsidRPr="00342395" w:rsidRDefault="005B31FB" w:rsidP="00602B4E">
            <w:pPr>
              <w:tabs>
                <w:tab w:val="left" w:pos="-720"/>
              </w:tabs>
              <w:rPr>
                <w:b/>
                <w:color w:val="FF0000"/>
                <w:sz w:val="20"/>
                <w:szCs w:val="20"/>
              </w:rPr>
            </w:pPr>
            <w:r w:rsidRPr="00BE351D">
              <w:rPr>
                <w:sz w:val="20"/>
                <w:szCs w:val="20"/>
              </w:rPr>
              <w:t xml:space="preserve">The application deadline is </w:t>
            </w:r>
            <w:r w:rsidRPr="005B31FB">
              <w:rPr>
                <w:b/>
                <w:color w:val="FF0000"/>
                <w:sz w:val="20"/>
                <w:szCs w:val="20"/>
                <w:highlight w:val="yellow"/>
              </w:rPr>
              <w:t>1</w:t>
            </w:r>
            <w:r w:rsidR="00602B4E">
              <w:rPr>
                <w:b/>
                <w:color w:val="FF0000"/>
                <w:sz w:val="20"/>
                <w:szCs w:val="20"/>
                <w:highlight w:val="yellow"/>
              </w:rPr>
              <w:t>4</w:t>
            </w:r>
            <w:r w:rsidRPr="005B31FB">
              <w:rPr>
                <w:b/>
                <w:color w:val="FF0000"/>
                <w:sz w:val="20"/>
                <w:szCs w:val="20"/>
                <w:highlight w:val="yellow"/>
              </w:rPr>
              <w:t xml:space="preserve"> </w:t>
            </w:r>
            <w:r w:rsidR="006706F4">
              <w:rPr>
                <w:b/>
                <w:color w:val="FF0000"/>
                <w:sz w:val="20"/>
                <w:szCs w:val="20"/>
                <w:highlight w:val="yellow"/>
              </w:rPr>
              <w:t>October</w:t>
            </w:r>
            <w:r w:rsidRPr="005B31FB">
              <w:rPr>
                <w:b/>
                <w:color w:val="FF0000"/>
                <w:sz w:val="20"/>
                <w:szCs w:val="20"/>
                <w:highlight w:val="yellow"/>
              </w:rPr>
              <w:t xml:space="preserve"> 2021.</w:t>
            </w:r>
          </w:p>
        </w:tc>
      </w:tr>
    </w:tbl>
    <w:p w:rsidR="0033318D" w:rsidRDefault="0033318D">
      <w:pPr>
        <w:rPr>
          <w:rFonts w:ascii="Calibri" w:eastAsia="Calibri" w:hAnsi="Calibri" w:cs="Calibri"/>
          <w:sz w:val="22"/>
          <w:szCs w:val="22"/>
        </w:rPr>
      </w:pPr>
    </w:p>
    <w:sectPr w:rsidR="0033318D">
      <w:footerReference w:type="default" r:id="rId11"/>
      <w:pgSz w:w="11906" w:h="16838"/>
      <w:pgMar w:top="54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36" w:rsidRDefault="00DF5636">
      <w:r>
        <w:separator/>
      </w:r>
    </w:p>
  </w:endnote>
  <w:endnote w:type="continuationSeparator" w:id="0">
    <w:p w:rsidR="00DF5636" w:rsidRDefault="00DF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8D" w:rsidRDefault="0068049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96777">
      <w:rPr>
        <w:noProof/>
        <w:color w:val="000000"/>
      </w:rPr>
      <w:t>3</w:t>
    </w:r>
    <w:r>
      <w:rPr>
        <w:color w:val="000000"/>
      </w:rPr>
      <w:fldChar w:fldCharType="end"/>
    </w:r>
  </w:p>
  <w:p w:rsidR="0033318D" w:rsidRDefault="0033318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36" w:rsidRDefault="00DF5636">
      <w:r>
        <w:separator/>
      </w:r>
    </w:p>
  </w:footnote>
  <w:footnote w:type="continuationSeparator" w:id="0">
    <w:p w:rsidR="00DF5636" w:rsidRDefault="00DF5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F8C"/>
    <w:multiLevelType w:val="multilevel"/>
    <w:tmpl w:val="398E4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20777"/>
    <w:multiLevelType w:val="multilevel"/>
    <w:tmpl w:val="1BD41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64D95"/>
    <w:multiLevelType w:val="multilevel"/>
    <w:tmpl w:val="2E70E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670AA6"/>
    <w:multiLevelType w:val="hybridMultilevel"/>
    <w:tmpl w:val="8BC0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048F0"/>
    <w:multiLevelType w:val="hybridMultilevel"/>
    <w:tmpl w:val="E37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35D06"/>
    <w:multiLevelType w:val="multilevel"/>
    <w:tmpl w:val="0EB22E7E"/>
    <w:lvl w:ilvl="0">
      <w:start w:val="1"/>
      <w:numFmt w:val="bullet"/>
      <w:lvlText w:val="●"/>
      <w:lvlJc w:val="left"/>
      <w:pPr>
        <w:ind w:left="540" w:hanging="360"/>
      </w:pPr>
      <w:rPr>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6" w15:restartNumberingAfterBreak="0">
    <w:nsid w:val="3778257B"/>
    <w:multiLevelType w:val="multilevel"/>
    <w:tmpl w:val="2E1A0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AA3933"/>
    <w:multiLevelType w:val="multilevel"/>
    <w:tmpl w:val="1F3A5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4E0251"/>
    <w:multiLevelType w:val="hybridMultilevel"/>
    <w:tmpl w:val="1CCE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54CDE"/>
    <w:multiLevelType w:val="hybridMultilevel"/>
    <w:tmpl w:val="56F6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A0C7B"/>
    <w:multiLevelType w:val="hybridMultilevel"/>
    <w:tmpl w:val="1CE28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C6826"/>
    <w:multiLevelType w:val="multilevel"/>
    <w:tmpl w:val="77102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9F2F39"/>
    <w:multiLevelType w:val="hybridMultilevel"/>
    <w:tmpl w:val="4332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1"/>
  </w:num>
  <w:num w:numId="5">
    <w:abstractNumId w:val="1"/>
  </w:num>
  <w:num w:numId="6">
    <w:abstractNumId w:val="6"/>
  </w:num>
  <w:num w:numId="7">
    <w:abstractNumId w:val="5"/>
  </w:num>
  <w:num w:numId="8">
    <w:abstractNumId w:val="3"/>
  </w:num>
  <w:num w:numId="9">
    <w:abstractNumId w:val="4"/>
  </w:num>
  <w:num w:numId="10">
    <w:abstractNumId w:val="8"/>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8D"/>
    <w:rsid w:val="002A430B"/>
    <w:rsid w:val="002B2B9A"/>
    <w:rsid w:val="00326534"/>
    <w:rsid w:val="0033318D"/>
    <w:rsid w:val="00342395"/>
    <w:rsid w:val="0034632C"/>
    <w:rsid w:val="003A2F2C"/>
    <w:rsid w:val="003A4A0A"/>
    <w:rsid w:val="004256CB"/>
    <w:rsid w:val="0044645F"/>
    <w:rsid w:val="00540C8D"/>
    <w:rsid w:val="005B25D6"/>
    <w:rsid w:val="005B31FB"/>
    <w:rsid w:val="00602B4E"/>
    <w:rsid w:val="00621FF9"/>
    <w:rsid w:val="006706F4"/>
    <w:rsid w:val="00680499"/>
    <w:rsid w:val="007028D7"/>
    <w:rsid w:val="0080049F"/>
    <w:rsid w:val="0094766D"/>
    <w:rsid w:val="00B443BD"/>
    <w:rsid w:val="00B96777"/>
    <w:rsid w:val="00B97C3E"/>
    <w:rsid w:val="00DA4531"/>
    <w:rsid w:val="00DE296D"/>
    <w:rsid w:val="00DF5636"/>
    <w:rsid w:val="00E227D0"/>
    <w:rsid w:val="00E22EAF"/>
    <w:rsid w:val="00E539E6"/>
    <w:rsid w:val="00F002CF"/>
    <w:rsid w:val="00F23B1F"/>
    <w:rsid w:val="00F6424B"/>
    <w:rsid w:val="00F8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7BAF1-6A9D-490C-8841-CD5A18C5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tabs>
        <w:tab w:val="left" w:pos="-720"/>
      </w:tabs>
      <w:jc w:val="both"/>
      <w:outlineLvl w:val="0"/>
    </w:pPr>
    <w:rPr>
      <w:rFonts w:ascii="Palatino" w:eastAsia="Palatino" w:hAnsi="Palatino" w:cs="Palatino"/>
      <w:b/>
      <w:sz w:val="22"/>
      <w:szCs w:val="22"/>
    </w:rPr>
  </w:style>
  <w:style w:type="paragraph" w:styleId="Heading2">
    <w:name w:val="heading 2"/>
    <w:basedOn w:val="Normal"/>
    <w:next w:val="Normal"/>
    <w:pPr>
      <w:keepNext/>
      <w:widowControl w:val="0"/>
      <w:tabs>
        <w:tab w:val="left" w:pos="-720"/>
      </w:tabs>
      <w:jc w:val="center"/>
      <w:outlineLvl w:val="1"/>
    </w:pPr>
    <w:rPr>
      <w:rFonts w:ascii="Palatino" w:eastAsia="Palatino" w:hAnsi="Palatino" w:cs="Palatino"/>
      <w:b/>
      <w:sz w:val="20"/>
      <w:szCs w:val="20"/>
    </w:rPr>
  </w:style>
  <w:style w:type="paragraph" w:styleId="Heading3">
    <w:name w:val="heading 3"/>
    <w:basedOn w:val="Normal"/>
    <w:next w:val="Normal"/>
    <w:pPr>
      <w:keepNext/>
      <w:tabs>
        <w:tab w:val="left" w:pos="-720"/>
      </w:tabs>
      <w:spacing w:before="109" w:after="54"/>
      <w:outlineLvl w:val="2"/>
    </w:pPr>
    <w:rPr>
      <w:rFonts w:ascii="Palatino" w:eastAsia="Palatino" w:hAnsi="Palatino" w:cs="Palatino"/>
      <w:b/>
      <w:sz w:val="22"/>
      <w:szCs w:val="22"/>
    </w:rPr>
  </w:style>
  <w:style w:type="paragraph" w:styleId="Heading4">
    <w:name w:val="heading 4"/>
    <w:basedOn w:val="Normal"/>
    <w:next w:val="Normal"/>
    <w:pPr>
      <w:keepNext/>
      <w:jc w:val="right"/>
      <w:outlineLvl w:val="3"/>
    </w:pPr>
    <w:rPr>
      <w:rFonts w:ascii="Palatino" w:eastAsia="Palatino" w:hAnsi="Palatino" w:cs="Palatino"/>
      <w:b/>
      <w:sz w:val="22"/>
      <w:szCs w:val="22"/>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Header">
    <w:name w:val="header"/>
    <w:basedOn w:val="Normal"/>
    <w:link w:val="HeaderChar"/>
    <w:uiPriority w:val="99"/>
    <w:unhideWhenUsed/>
    <w:rsid w:val="00F1401C"/>
    <w:pPr>
      <w:tabs>
        <w:tab w:val="center" w:pos="4680"/>
        <w:tab w:val="right" w:pos="9360"/>
      </w:tabs>
    </w:pPr>
  </w:style>
  <w:style w:type="character" w:customStyle="1" w:styleId="HeaderChar">
    <w:name w:val="Header Char"/>
    <w:basedOn w:val="DefaultParagraphFont"/>
    <w:link w:val="Header"/>
    <w:uiPriority w:val="99"/>
    <w:rsid w:val="00F1401C"/>
  </w:style>
  <w:style w:type="paragraph" w:styleId="Footer">
    <w:name w:val="footer"/>
    <w:basedOn w:val="Normal"/>
    <w:link w:val="FooterChar"/>
    <w:uiPriority w:val="99"/>
    <w:unhideWhenUsed/>
    <w:rsid w:val="00F1401C"/>
    <w:pPr>
      <w:tabs>
        <w:tab w:val="center" w:pos="4680"/>
        <w:tab w:val="right" w:pos="9360"/>
      </w:tabs>
    </w:pPr>
  </w:style>
  <w:style w:type="character" w:customStyle="1" w:styleId="FooterChar">
    <w:name w:val="Footer Char"/>
    <w:basedOn w:val="DefaultParagraphFont"/>
    <w:link w:val="Footer"/>
    <w:uiPriority w:val="99"/>
    <w:rsid w:val="00F1401C"/>
  </w:style>
  <w:style w:type="paragraph" w:styleId="ListParagraph">
    <w:name w:val="List Paragraph"/>
    <w:basedOn w:val="Normal"/>
    <w:uiPriority w:val="34"/>
    <w:qFormat/>
    <w:rsid w:val="005E5AD0"/>
    <w:pPr>
      <w:ind w:left="720"/>
      <w:contextualSpacing/>
    </w:pPr>
  </w:style>
  <w:style w:type="table" w:customStyle="1" w:styleId="a0">
    <w:basedOn w:val="TableNormal"/>
    <w:tblPr>
      <w:tblStyleRowBandSize w:val="1"/>
      <w:tblStyleColBandSize w:val="1"/>
      <w:tblCellMar>
        <w:left w:w="177" w:type="dxa"/>
        <w:right w:w="177" w:type="dxa"/>
      </w:tblCellMar>
    </w:tblPr>
  </w:style>
  <w:style w:type="character" w:styleId="CommentReference">
    <w:name w:val="annotation reference"/>
    <w:basedOn w:val="DefaultParagraphFont"/>
    <w:uiPriority w:val="99"/>
    <w:semiHidden/>
    <w:unhideWhenUsed/>
    <w:rsid w:val="003A2F2C"/>
    <w:rPr>
      <w:sz w:val="16"/>
      <w:szCs w:val="16"/>
    </w:rPr>
  </w:style>
  <w:style w:type="paragraph" w:styleId="CommentText">
    <w:name w:val="annotation text"/>
    <w:basedOn w:val="Normal"/>
    <w:link w:val="CommentTextChar"/>
    <w:uiPriority w:val="99"/>
    <w:semiHidden/>
    <w:unhideWhenUsed/>
    <w:rsid w:val="003A2F2C"/>
    <w:rPr>
      <w:sz w:val="20"/>
      <w:szCs w:val="20"/>
    </w:rPr>
  </w:style>
  <w:style w:type="character" w:customStyle="1" w:styleId="CommentTextChar">
    <w:name w:val="Comment Text Char"/>
    <w:basedOn w:val="DefaultParagraphFont"/>
    <w:link w:val="CommentText"/>
    <w:uiPriority w:val="99"/>
    <w:semiHidden/>
    <w:rsid w:val="003A2F2C"/>
    <w:rPr>
      <w:sz w:val="20"/>
      <w:szCs w:val="20"/>
    </w:rPr>
  </w:style>
  <w:style w:type="paragraph" w:styleId="CommentSubject">
    <w:name w:val="annotation subject"/>
    <w:basedOn w:val="CommentText"/>
    <w:next w:val="CommentText"/>
    <w:link w:val="CommentSubjectChar"/>
    <w:uiPriority w:val="99"/>
    <w:semiHidden/>
    <w:unhideWhenUsed/>
    <w:rsid w:val="003A2F2C"/>
    <w:rPr>
      <w:b/>
      <w:bCs/>
    </w:rPr>
  </w:style>
  <w:style w:type="character" w:customStyle="1" w:styleId="CommentSubjectChar">
    <w:name w:val="Comment Subject Char"/>
    <w:basedOn w:val="CommentTextChar"/>
    <w:link w:val="CommentSubject"/>
    <w:uiPriority w:val="99"/>
    <w:semiHidden/>
    <w:rsid w:val="003A2F2C"/>
    <w:rPr>
      <w:b/>
      <w:bCs/>
      <w:sz w:val="20"/>
      <w:szCs w:val="20"/>
    </w:rPr>
  </w:style>
  <w:style w:type="paragraph" w:styleId="BalloonText">
    <w:name w:val="Balloon Text"/>
    <w:basedOn w:val="Normal"/>
    <w:link w:val="BalloonTextChar"/>
    <w:uiPriority w:val="99"/>
    <w:semiHidden/>
    <w:unhideWhenUsed/>
    <w:rsid w:val="003A2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F2C"/>
    <w:rPr>
      <w:rFonts w:ascii="Segoe UI" w:hAnsi="Segoe UI" w:cs="Segoe UI"/>
      <w:sz w:val="18"/>
      <w:szCs w:val="18"/>
    </w:rPr>
  </w:style>
  <w:style w:type="character" w:styleId="Hyperlink">
    <w:name w:val="Hyperlink"/>
    <w:basedOn w:val="DefaultParagraphFont"/>
    <w:uiPriority w:val="99"/>
    <w:unhideWhenUsed/>
    <w:rsid w:val="006706F4"/>
    <w:rPr>
      <w:color w:val="0000FF" w:themeColor="hyperlink"/>
      <w:u w:val="single"/>
    </w:rPr>
  </w:style>
  <w:style w:type="character" w:styleId="FollowedHyperlink">
    <w:name w:val="FollowedHyperlink"/>
    <w:basedOn w:val="DefaultParagraphFont"/>
    <w:uiPriority w:val="99"/>
    <w:semiHidden/>
    <w:unhideWhenUsed/>
    <w:rsid w:val="00670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forms.gle/Stt2urwqTUNf2mRA7"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CpGKu07iH+7aVUwJZja3aU1cKg==">AMUW2mW8BKWoHXqM+0V4U3NMHgPbbThydKjp57v2LpsGLLL1RnI6XdWlqr1BRHSsiiZF7PMuw0A9U50xawJtk8bh7G6EmmqDWflSZ4Dtbet/u2u7Jzoj6nH+I2TGibd28uMueLTsVrDtPQ/uJNjC7TORZy/K9qh/bDwfs/xPEGYnLYGRSzA9NBh3QYkeLcBraHXH1PAyTMLNrbY1slaDnrtfX7JZ41AQV8pXCAzX8zMG18yqYHFngBhuLpLmWpi/OPkhFyClGvjjhAhaIkgo7gXctgcgg65YGrm3wVuW0HLQ3ADtDnpBfGGRxWYD/zUIuwPIin3386IBukReq/o57aJcQ6fAMtXzCD6AcsMqTCAL9z1HZOqK1keLcmSn4CNlf0XqecFhArV/sWgDXFU8nQttprrysNQTQ9RdqCyVVeRuwO0vDI8PyeMNNUT+cSem4pXYgRle+zNeGa4eTuxJgJHt9VLkDutqZxpfHnX+0bHReIUrP9jEEmIwM03YsrAmL0DO2hXIsQpnCy5Rg7WM/AQkFbElt+A6IQUhcADL9cSbg4C/n11VviuriXxGvLDEvgweRv9s1NvMRjGFw4Orasxe0iL24UDhKPU5okyvPBCbIZdICny66L27Ft6/zslCLpW/0EbYsQXZtUo5AWKEmlekygGC9W0RldGBM68J2stRyS76M+vPBfWD64CpIvf0CNDKmrRvsr0tu3ImltZKOFcMQ00TTMC+skIL4qNV4yIA/jebgPeJQ5HmazN6XSOU9n+cPjrTOgUT5TB5iqHRuyUns5td3rWE8esEq1K6VXS0GeieMIvtM6HOBgaJud0AEj5/VflMR3Q6Xl+uT7JT+6BCAgrdIRtCmq1Mvn20RF45jED7yaxQ5t48T5k0mY+FaRDbvHvb5wV1rcFO2nWjia8yjDn2biVNcgzqSaBx2PWFxoKwa+VXrS2LyO37LQPI8BX4Zoh/Uj5guUdFywHditjy/r56h42bDBRBiFpWcat7PROx8mVBrCuB/GvdvazHKQmA1s1UdkdoDLxbcox0m3enCT6B+cdXcBKMARRGeoKuF7MU4hHLavM2QoHVxquFa7tqP9MsjZMP6gOW9sb8xSsfag4CdGN4+aNfZaFfdozkjhcjjUuxIB0jMQbQTIDi6rPVVYRQ/it3+TVXEZHbSUKlYXFqQAh6afHhn9I7gTep5MCh/7DwG+HKa3C4ylkDcQXcCst1JxAl5iiSeGOZLFpXPhLhY92MZx9zIIN+fiGGTG1YXjxxDc03UbmNKDEjCUNtovrMMlzGuwnsoFuGhKriN97Yidqqi5tEKEAgmEyecGoCYQ4mWd22fvZ3G4k4HxammyeViffiQiIxKfdpXmruc2pxNsRL1nDLcAjrap01x5U8dAgZ6Pr0kDuImnX3+0umoEe+bxhLWkh+1+FiiIJh83vNESueDU+8409f4miU+YtF/F+AOMx9QlwzdnGI5XJVWWaFQPb7eVWRyNdgAYPuxKg1khUcECU/EvTIImQSIq2WR3s3cKKyHdDRQH+TfuLbDsthQW8OKTOMfeSn6wtyYFGPnzz/cr+RBZ/xcsNO2lZ38xFRLyIPEgtURKcqMInwJgKkTnOErJlwWhTgfWKs7AUD3IvWk9Zp3PyoVaZ1SnoQ8TuFUyO6L8lCy1b+6NXNUx3qW6634AdYM1ayh1PzgxMK+KcWAkWYYH6XkWmOdhLjW/E9XNY+IGT/kx6k9FY9NdyGsRERcsjhqMCiEKsofS5tJkNaY5KROp37oVlZmF/mJpdiUoz//lG4wD/26GWZAPY+mc+cN25jG5MWyoylWEDbPAKqsdcH7u2JOxdAFKxpd+cVD6LO0Aj5tmdXB6kkxWNP7/lOX6pZ9q7YY+DYJiS9NE0WyNrRpe3vtKrptjhhEKEXBJrIVLd3MvtY3anc5nWn90zUEJt0iZGJ6cWyzsH5ugj3Ux58V34EFu8fmnY/glepjk24Za5LkodQXpR9jMUmfAGVyD5cHN+jJ3iuxwa/ReeF54yexMWH65l3VhUTiiQ1HUC1NASqY1Y+tN576fhfUKc578ZL+9h6sj7mnStaXTh1/i1gPiMUNt+3eB5Gee0Bw39r2Ddyw91Ah08l87mo3Sf8EMFQ2g5Y7AagCyDBMhS3QN3sxjA6lmWr40sOYCZF8kTwetFcgsXRrChOCDhKC5PNdqQ0uTFnhojW91tKOpEE8sgb5qJhKGfxlw6OCIqR3TnfPB23+rOud2zWp3l400rZRKnM6zdFlHymFu9iCBu92B0xYlQbKxFU0JWRLLMVwjPqd+eokto+Hd9gtUNuaClYLttA0iVoD3iYGLAhheJJKVmII9G9t1wCsGg8PL0QB5PTj6Yq4qY8fUbfYVSdKJx/sjl4HP+W6tOfvVn/5JjdemQ1MhMa7E0foULgjEhP/ez0sIq1CMbFHYj0ag6fNdvIOACDmPo/WOOBN334ZTR6WGWuIkN+BDdv2TllANruovCIiTu0gZAg98OrNBrSy6ikr9uhGar941Lcmp8AW8fCyuOTQJWtZ90wCe2f4mtLCmdNIZe8YR6BcSpUHurTvhAD3oWX408wz/G7sOeyjvb1WDCRyyZVt4UuebuC7C0JwRtqPyLxV8/ojdKCx2G5XdvpSZxkYfXLfTbG7hX0F4CeSQr1LACYayqaJjpnxSfkXueKQ0VAodd51nQpGFjLpCn/qXbzHs9bwrPXEfoPc9vFhM3VcOFvogQWdvgxuAakah7jLHtmLCUr0V8ESx8mfH3b7e1+wzP2ppcN07/ecJ/en535WGqY9vmJvHzDaq04iD/0qrHZYfnqK27jMAgJF50p1ZSklF3jFYkNGXND+6iq3S/qUEq/gog3aoGlAMku2nhFzNLLYBBabGNPy2Fr5nv23vNYBOb2kOS/uizwhBHaN0x7rB72sU0/t7vIcP1GfX8HdDx4eerXttcaBxfuUPFjDO43PLux9ExfmjWBbX4Df8QLCrjwBMebG1Hh3CuVbneJbxMYG/g0zjNUPkPxcvPyRRB4P5vIIpCUvDYK/RLq+koImmdPJRdsiH4tbcxlZz3dgx2spezXQZ6KEq/Ain1TG2oixu62rfAv8Dzpcz+6uJ70lyVGnFTZz7YI+0aBcJnvDl7INeZD26GopBmnhIHCs65Tu2wbS3l7BuV7fxtJbUHJvJXRxiyewy9a2iERPeZCCzRcaBVtspWKiyVQ1RmxZtpytqiFXpRq0zCVTfp+MhYpvYYJ+4/Gk3gMzHb3WReHs/Scf/QvNHVN93t9XqatweNj5UgaVBi7guz3m6Q1KSkcJ8TTIRsTofeIEaBtNlEdGIgdDdz7FHu/oTH3Tb46IFggYWvAPfS5g6xDQvK53q39p9qvXC0IdB3iH20bKqvED78iMJAbkVLkA/sc1RuZ4vfSdUmtI5LY4I/0jOYvCVn/vzlLSAi9rkooAGR8Gw8HtkCsybA8ut3SoAeR4w1Qkg6041v69446NDanbRTAfGNJJ16v7zMP18WIzrXwkmaqhCV9oaPFEqxFhPkQ7RGH3WCY/kEuAX92C+mzPXORDy8gzFG0nicjzhE4PpUnN2D5hSXnwNDB2+5dAkp3LaCYMEkKf2KSfR9ez2p7xVILqnXU7fMZJrIACYH8EsVYsvCs0gWb6x+rZ9jMiKl2YaeiHK69UQRZrQHZVsKCzxHZeR68M/QuRshdrGQHcflOESBdWu94+nc1PQ4aik3z4Em5GRBFxzxLwFK845ohxh3XYYf8kGiEwKjRUFSi0pTUtpCRM4iYTazjc3bG24IpXPKOiYLm50cDaCCmkpAngia7JwqolZGLudqHF132OVR9oURvOlehuoz2WMM3BBRozvXblu2m5O8oIRQbj6PEpwpoKRzJHAJhJaPAWJ/cynKKMR5VdrsMJF7HSDV8HxY+nSfx4cZ0ILcRXxNSyxDn1MQmYmyKSvJpo0m+xvEmJz0/v8vslkXGgLKhbmq6YOk70boIED+apci0tKsY8WhhBZr0KUUPqpYsRncZUnjtvjHeh+tbEDYNAs+AHpV7GNPLrNSRbEN0fR0BwDqtaKF+pwB2ORLtSYkw5rIbyyLE7jKOOK6PoIR9k9QE3TbNMOEuS1BcSZSxQ2H2EwkeENYXvw3kq3Urb+y8YAMauFzaPLOV9lsRHrMq1FUViM1US66xjUnu5PEaswNr+zfXgZ6Lc60ckxqbjYH5FsNgNwc335VXDavjy1zXD8Yt9i0CXDRpG6s0d4j4YICRObMYayb7aEH3okYKurEO7Xt0yfjE7BuDtW6Lerm38/6VHe+90qjSiR4iyjB8EAJaxtBj8tEWVzT+Si7ivBYIPxjdOqkI3nSqKC5bgKuJU/DOTkjwEW2Cjygu7GMgYlemYDPPnyBa+8YUH2esfY/tM3xGFTx4HgenujNfto1+Byru5ZmbJlt6Tb8QegaOgQZf59CVK7ZBdH2/M4AkaEaifCBSG3+ZZrnX6PS1EoM5BrYAsez4DFemxhAaSHM5JybMZraj6henvZvGQ6DhFsnXzMMAeAcRYilb4u/iStB9nWAZOEOGA1MTuXukoTIiTbD/dc/cPwdezpb3LLJCg55ETMSnyM5YNIGP9GWZ515CIXUbLboiXyM5VPimkdZtvUuECI0hEpiXygRTuhEVb2eIODtmzesDrg8Ujr7Hu22c0YHTxI9mWtte/B3Z9RgVuSp51OwII6E3Hho4VfOrgqBosyl+sDQfy87tuvyY8tLnWu//kvoR2OQh/IdfLYTwqrLvT7eN5MYA+oeproBiZqIqR5ZG41826/pTtzvLvTjPFpTPs89uxaqOs7pidh2CnOL4jjr6H+0tP9XA3aieMpMNQAvKJK4mGsloyk6NPvNs1CuSXEGFqk0/TfYI2o4naSCC9BBlGFKT9rZZsMz3JD6egrgFsdHO9wQiQAfidsFJSX2gndA7bLVsCRvP0LVW80brdL5FJO1ipnoXUIISV69OpkVuQWd2XYfgpyBPV/kHtaTyCPD5X3munXJpT11HYu3C1Ymcjj3hiyaCy5c6nokvGxhTZH7L+oyBJJt1P4kMOz9QTH+f12c9WEbxD/FSgxE+1OfQ6wkQUfVJUe38iFO4lpqebLItw9czs0X0vZ2/ksyidmTamsULrm14yRBuSyHsCVX4amaTrZNoVXx5L63NubYU03n1N4sDiON/7H9wKVup338NrLd90iQ/dfKyGW4ctFnWaUYj6gTyZ3rQQK3Yh6EJK1o3clasYzrIflo/+xYZVB9zzIROYq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D76087-2AB9-48FA-8674-CE09977F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Komuhangi</dc:creator>
  <cp:lastModifiedBy>victoria filimonova</cp:lastModifiedBy>
  <cp:revision>3</cp:revision>
  <cp:lastPrinted>2021-10-06T12:05:00Z</cp:lastPrinted>
  <dcterms:created xsi:type="dcterms:W3CDTF">2021-10-06T12:06:00Z</dcterms:created>
  <dcterms:modified xsi:type="dcterms:W3CDTF">2021-10-06T12:11:00Z</dcterms:modified>
</cp:coreProperties>
</file>