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D6" w:rsidRPr="003F5C19" w:rsidRDefault="002862D6" w:rsidP="002862D6">
      <w:pPr>
        <w:suppressAutoHyphens/>
        <w:jc w:val="center"/>
        <w:rPr>
          <w:b/>
          <w:sz w:val="20"/>
          <w:szCs w:val="20"/>
        </w:rPr>
      </w:pPr>
      <w:r w:rsidRPr="003F5C19">
        <w:rPr>
          <w:b/>
          <w:sz w:val="20"/>
          <w:szCs w:val="20"/>
        </w:rPr>
        <w:t xml:space="preserve">TERMS OF REFERENCE </w:t>
      </w:r>
    </w:p>
    <w:p w:rsidR="002862D6" w:rsidRPr="003F5C19" w:rsidRDefault="002862D6" w:rsidP="002862D6">
      <w:pPr>
        <w:suppressAutoHyphens/>
        <w:jc w:val="center"/>
        <w:rPr>
          <w:b/>
          <w:sz w:val="20"/>
          <w:szCs w:val="20"/>
        </w:rPr>
      </w:pPr>
      <w:r w:rsidRPr="003F5C19">
        <w:rPr>
          <w:b/>
          <w:sz w:val="20"/>
          <w:szCs w:val="20"/>
        </w:rPr>
        <w:t>for</w:t>
      </w:r>
    </w:p>
    <w:p w:rsidR="002862D6" w:rsidRPr="003F5C19" w:rsidRDefault="002862D6" w:rsidP="002862D6">
      <w:pPr>
        <w:suppressAutoHyphens/>
        <w:jc w:val="center"/>
        <w:rPr>
          <w:b/>
          <w:sz w:val="20"/>
          <w:szCs w:val="20"/>
        </w:rPr>
      </w:pPr>
      <w:r w:rsidRPr="003F5C19">
        <w:rPr>
          <w:b/>
          <w:sz w:val="20"/>
          <w:szCs w:val="20"/>
        </w:rPr>
        <w:t xml:space="preserve">Individual Consultant (National) - Programme Assistant </w:t>
      </w:r>
      <w:r w:rsidR="00861F61" w:rsidRPr="003F5C19">
        <w:rPr>
          <w:b/>
          <w:sz w:val="20"/>
          <w:szCs w:val="20"/>
        </w:rPr>
        <w:t xml:space="preserve">(SRH Unit) </w:t>
      </w:r>
    </w:p>
    <w:p w:rsidR="002862D6" w:rsidRPr="003F5C19" w:rsidRDefault="002862D6" w:rsidP="002862D6">
      <w:pPr>
        <w:suppressAutoHyphens/>
        <w:jc w:val="center"/>
        <w:rPr>
          <w:b/>
          <w:sz w:val="20"/>
          <w:szCs w:val="20"/>
        </w:rPr>
      </w:pPr>
      <w:r w:rsidRPr="003F5C19">
        <w:rPr>
          <w:b/>
          <w:sz w:val="20"/>
          <w:szCs w:val="20"/>
        </w:rPr>
        <w:t>(Health and Gender Support Project in Cox’s Bazar District)</w:t>
      </w:r>
    </w:p>
    <w:p w:rsidR="000A5B2C" w:rsidRPr="003F5C19" w:rsidRDefault="000A5B2C" w:rsidP="002862D6">
      <w:pPr>
        <w:suppressAutoHyphens/>
        <w:rPr>
          <w:b/>
          <w:sz w:val="16"/>
          <w:szCs w:val="16"/>
        </w:rPr>
      </w:pPr>
    </w:p>
    <w:tbl>
      <w:tblPr>
        <w:tblW w:w="1045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"/>
        <w:gridCol w:w="1800"/>
        <w:gridCol w:w="8630"/>
        <w:gridCol w:w="10"/>
      </w:tblGrid>
      <w:tr w:rsidR="000A5B2C" w:rsidRPr="003F5C19" w:rsidTr="00D80226">
        <w:trPr>
          <w:gridAfter w:val="1"/>
          <w:wAfter w:w="10" w:type="dxa"/>
          <w:trHeight w:val="216"/>
        </w:trPr>
        <w:tc>
          <w:tcPr>
            <w:tcW w:w="104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F5C19">
              <w:rPr>
                <w:b/>
                <w:sz w:val="18"/>
                <w:szCs w:val="18"/>
              </w:rPr>
              <w:t>FOR</w:t>
            </w:r>
          </w:p>
          <w:p w:rsidR="002E2448" w:rsidRPr="003F5C19" w:rsidRDefault="002862D6" w:rsidP="00474C22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3F5C19">
              <w:rPr>
                <w:b/>
                <w:sz w:val="18"/>
                <w:szCs w:val="18"/>
              </w:rPr>
              <w:t xml:space="preserve"> UNFPA BANGLADESH</w:t>
            </w: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Hiring Office: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  <w:lang w:val="en-US"/>
              </w:rPr>
            </w:pPr>
            <w:r w:rsidRPr="003F5C19">
              <w:rPr>
                <w:sz w:val="18"/>
                <w:szCs w:val="18"/>
                <w:lang w:val="en-US"/>
              </w:rPr>
              <w:t>UNFPA Bangladesh Country Office</w:t>
            </w: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Purpose of consultancy: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jc w:val="both"/>
              <w:rPr>
                <w:sz w:val="18"/>
                <w:szCs w:val="18"/>
              </w:rPr>
            </w:pPr>
            <w:r w:rsidRPr="003F5C19">
              <w:rPr>
                <w:rFonts w:eastAsia="Calibri"/>
                <w:sz w:val="18"/>
                <w:szCs w:val="18"/>
              </w:rPr>
              <w:t>UNFPA is implementing a Health and Gender Support Project (HGSP) in Cox’s Bazar.  The project objectives are to s</w:t>
            </w:r>
            <w:r w:rsidRPr="003F5C19">
              <w:rPr>
                <w:sz w:val="18"/>
                <w:szCs w:val="18"/>
              </w:rPr>
              <w:t xml:space="preserve">trengthen integrated sexual and reproductive health and rights (SRHR) and gender-based violence (GBV) prevention and response services and information for the host communities and the displaced </w:t>
            </w:r>
            <w:proofErr w:type="spellStart"/>
            <w:r w:rsidRPr="003F5C19">
              <w:rPr>
                <w:sz w:val="18"/>
                <w:szCs w:val="18"/>
              </w:rPr>
              <w:t>Rohingya</w:t>
            </w:r>
            <w:proofErr w:type="spellEnd"/>
            <w:r w:rsidRPr="003F5C19">
              <w:rPr>
                <w:sz w:val="18"/>
                <w:szCs w:val="18"/>
              </w:rPr>
              <w:t xml:space="preserve"> popu</w:t>
            </w:r>
            <w:r w:rsidR="00861F61" w:rsidRPr="003F5C19">
              <w:rPr>
                <w:sz w:val="18"/>
                <w:szCs w:val="18"/>
              </w:rPr>
              <w:t>lation in Cox's Bazar district.</w:t>
            </w:r>
            <w:r w:rsidR="003F5C19" w:rsidRPr="003F5C19">
              <w:rPr>
                <w:sz w:val="18"/>
                <w:szCs w:val="18"/>
              </w:rPr>
              <w:t xml:space="preserve"> </w:t>
            </w:r>
            <w:r w:rsidRPr="003F5C19">
              <w:rPr>
                <w:sz w:val="18"/>
                <w:szCs w:val="18"/>
              </w:rPr>
              <w:t>The project is part of the Government’s Operational Plan (OP) on Health and Gender Support in Cox’s Bazar District under the 4</w:t>
            </w:r>
            <w:r w:rsidRPr="003F5C19">
              <w:rPr>
                <w:sz w:val="18"/>
                <w:szCs w:val="18"/>
                <w:vertAlign w:val="superscript"/>
              </w:rPr>
              <w:t>th</w:t>
            </w:r>
            <w:r w:rsidRPr="003F5C19">
              <w:rPr>
                <w:sz w:val="18"/>
                <w:szCs w:val="18"/>
              </w:rPr>
              <w:t xml:space="preserve"> Health, Population and Nutrition Sector Programme (4th HPNSP) of the Ministry of Health and Family Welfare. </w:t>
            </w:r>
            <w:r w:rsidRPr="003F5C19">
              <w:rPr>
                <w:rFonts w:eastAsia="Calibri"/>
                <w:sz w:val="18"/>
                <w:szCs w:val="18"/>
              </w:rPr>
              <w:t>Some of the technical and financial assistance will focus on to i</w:t>
            </w:r>
            <w:r w:rsidRPr="003F5C19">
              <w:rPr>
                <w:sz w:val="18"/>
                <w:szCs w:val="18"/>
                <w:highlight w:val="white"/>
              </w:rPr>
              <w:t xml:space="preserve">mprove access to and utilization of integrated SRHR and GBV prevention and response services in district, </w:t>
            </w:r>
            <w:proofErr w:type="spellStart"/>
            <w:r w:rsidRPr="003F5C19">
              <w:rPr>
                <w:sz w:val="18"/>
                <w:szCs w:val="18"/>
                <w:highlight w:val="white"/>
              </w:rPr>
              <w:t>upazila</w:t>
            </w:r>
            <w:proofErr w:type="spellEnd"/>
            <w:r w:rsidRPr="003F5C19">
              <w:rPr>
                <w:sz w:val="18"/>
                <w:szCs w:val="18"/>
                <w:highlight w:val="white"/>
              </w:rPr>
              <w:t xml:space="preserve">, union and community levels.  </w:t>
            </w:r>
          </w:p>
          <w:p w:rsidR="002862D6" w:rsidRPr="003F5C19" w:rsidRDefault="002862D6" w:rsidP="00474C22">
            <w:pPr>
              <w:jc w:val="both"/>
              <w:rPr>
                <w:sz w:val="18"/>
                <w:szCs w:val="18"/>
              </w:rPr>
            </w:pPr>
          </w:p>
          <w:p w:rsidR="00861F61" w:rsidRPr="003F5C19" w:rsidRDefault="002862D6" w:rsidP="00474C22">
            <w:pPr>
              <w:jc w:val="both"/>
              <w:textAlignment w:val="baseline"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The purpose of this consultancy is to assist </w:t>
            </w:r>
            <w:r w:rsidR="00861F61" w:rsidRPr="003F5C19">
              <w:rPr>
                <w:sz w:val="18"/>
                <w:szCs w:val="18"/>
              </w:rPr>
              <w:t>SRH unit</w:t>
            </w:r>
            <w:r w:rsidRPr="003F5C19">
              <w:rPr>
                <w:sz w:val="18"/>
                <w:szCs w:val="18"/>
              </w:rPr>
              <w:t xml:space="preserve"> for </w:t>
            </w:r>
            <w:r w:rsidR="00861F61" w:rsidRPr="003F5C19">
              <w:rPr>
                <w:sz w:val="18"/>
                <w:szCs w:val="18"/>
              </w:rPr>
              <w:t xml:space="preserve">programmatic and financial support services. The consultant will provide operational support to carry out day-to-day for work planning, implementation and financial reporting. Some of the key tasks includes: review of budget submitted by implementing partners for GPS work plan; review of expenditures in line with approved budget; follow up approval of WP, FACE and reimbursement authorisations; timely review and processing of travel authorisation, claims and mission reports; follow up on deliverables from </w:t>
            </w:r>
            <w:r w:rsidR="001208F2" w:rsidRPr="003F5C19">
              <w:rPr>
                <w:sz w:val="18"/>
                <w:szCs w:val="18"/>
              </w:rPr>
              <w:t xml:space="preserve">individual </w:t>
            </w:r>
            <w:r w:rsidR="00861F61" w:rsidRPr="003F5C19">
              <w:rPr>
                <w:sz w:val="18"/>
                <w:szCs w:val="18"/>
              </w:rPr>
              <w:t>consultants and payments</w:t>
            </w:r>
            <w:r w:rsidR="001208F2" w:rsidRPr="003F5C19">
              <w:rPr>
                <w:sz w:val="18"/>
                <w:szCs w:val="18"/>
              </w:rPr>
              <w:t xml:space="preserve">; </w:t>
            </w:r>
            <w:r w:rsidR="00861F61" w:rsidRPr="003F5C19">
              <w:rPr>
                <w:sz w:val="18"/>
                <w:szCs w:val="18"/>
              </w:rPr>
              <w:t xml:space="preserve"> support in procurement of goods and services, preparation of action plan and follow up of micro</w:t>
            </w:r>
            <w:r w:rsidRPr="003F5C19">
              <w:rPr>
                <w:sz w:val="18"/>
                <w:szCs w:val="18"/>
              </w:rPr>
              <w:t xml:space="preserve"> </w:t>
            </w:r>
            <w:r w:rsidR="00861F61" w:rsidRPr="003F5C19">
              <w:rPr>
                <w:sz w:val="18"/>
                <w:szCs w:val="18"/>
              </w:rPr>
              <w:t>assessment, audit and spot checks and compilation of mission reports and update the status of action points.</w:t>
            </w:r>
          </w:p>
          <w:p w:rsidR="00861F61" w:rsidRPr="003F5C19" w:rsidRDefault="00861F61" w:rsidP="00474C22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Scope of work:</w:t>
            </w:r>
          </w:p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i/>
                <w:sz w:val="18"/>
                <w:szCs w:val="18"/>
              </w:rPr>
            </w:pPr>
            <w:r w:rsidRPr="003F5C19">
              <w:rPr>
                <w:i/>
                <w:sz w:val="18"/>
                <w:szCs w:val="18"/>
              </w:rPr>
              <w:t>(Description of services, activities, or outputs)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5C19">
              <w:rPr>
                <w:sz w:val="18"/>
                <w:szCs w:val="18"/>
              </w:rPr>
              <w:t xml:space="preserve">The Programme Assistant (individual consultant) will </w:t>
            </w:r>
            <w:r w:rsidRPr="003F5C19">
              <w:rPr>
                <w:color w:val="000000"/>
                <w:sz w:val="18"/>
                <w:szCs w:val="18"/>
                <w:lang w:val="en-US"/>
              </w:rPr>
              <w:t>provide progra</w:t>
            </w:r>
            <w:r w:rsidR="002C5D79" w:rsidRPr="003F5C19">
              <w:rPr>
                <w:color w:val="000000"/>
                <w:sz w:val="18"/>
                <w:szCs w:val="18"/>
                <w:lang w:val="en-US"/>
              </w:rPr>
              <w:t>mmatic</w:t>
            </w:r>
            <w:r w:rsidRPr="003F5C1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2C5D79" w:rsidRPr="003F5C19">
              <w:rPr>
                <w:color w:val="000000"/>
                <w:sz w:val="18"/>
                <w:szCs w:val="18"/>
                <w:lang w:val="en-US"/>
              </w:rPr>
              <w:t>and financial support</w:t>
            </w:r>
            <w:r w:rsidRPr="003F5C19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2862D6" w:rsidRPr="003F5C19" w:rsidRDefault="002862D6" w:rsidP="00474C2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2862D6" w:rsidRPr="003F5C19" w:rsidRDefault="002862D6" w:rsidP="00474C2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Programme support</w:t>
            </w:r>
          </w:p>
          <w:p w:rsidR="002862D6" w:rsidRPr="003F5C19" w:rsidRDefault="00D53481" w:rsidP="00474C22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Assist</w:t>
            </w:r>
            <w:r w:rsidR="007A080A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the 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coordination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reporting of the 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SRH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programmes/projects planning, monitoring and evaluation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including preparation of </w:t>
            </w:r>
            <w:proofErr w:type="spellStart"/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workplans</w:t>
            </w:r>
            <w:proofErr w:type="spellEnd"/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</w:p>
          <w:p w:rsidR="002862D6" w:rsidRPr="003F5C19" w:rsidRDefault="002862D6" w:rsidP="00044583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Participates in preparation of </w:t>
            </w:r>
            <w:proofErr w:type="spellStart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workplans</w:t>
            </w:r>
            <w:proofErr w:type="spellEnd"/>
            <w:r w:rsidR="00D53481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budgets 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within the office and with </w:t>
            </w:r>
            <w:r w:rsidR="00D53481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implementing partners (IPs)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</w:p>
          <w:p w:rsidR="00D53481" w:rsidRPr="003F5C19" w:rsidRDefault="00D53481" w:rsidP="00044583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Review</w:t>
            </w:r>
            <w:r w:rsidR="007A080A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of budget in line with WP policy and expenditures submitted by IP for reporting in line with approved WP/budget</w:t>
            </w:r>
            <w:r w:rsid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UNFPA activity coding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</w:p>
          <w:p w:rsidR="002862D6" w:rsidRPr="00761FB8" w:rsidRDefault="002862D6" w:rsidP="00761FB8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Facili</w:t>
            </w:r>
            <w:r w:rsidR="00D53481"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tate</w:t>
            </w:r>
            <w:r w:rsidR="007A080A"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preparation of </w:t>
            </w:r>
            <w:r w:rsidR="00D53481"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planning</w:t>
            </w:r>
            <w:r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53481"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and review </w:t>
            </w:r>
            <w:r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meetings, drafts minutes of meetings</w:t>
            </w:r>
            <w:r w:rsidR="004479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and provides any other necessary logistical support to such activities;</w:t>
            </w:r>
          </w:p>
          <w:p w:rsidR="001208F2" w:rsidRPr="003F5C19" w:rsidRDefault="001208F2" w:rsidP="00044583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Compiles mission reports and update status of key action points of the missions.</w:t>
            </w:r>
          </w:p>
          <w:p w:rsidR="00F1461B" w:rsidRPr="003F5C19" w:rsidRDefault="00F1461B" w:rsidP="00F1461B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Ensures that all official documents (</w:t>
            </w:r>
            <w:proofErr w:type="spellStart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workplans</w:t>
            </w:r>
            <w:proofErr w:type="spellEnd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IP agreements, work plan progress reports, travel authorisations, claims, meeting minutes) are kept in google drive for retrieval and archiving; </w:t>
            </w:r>
          </w:p>
          <w:p w:rsidR="00F1461B" w:rsidRPr="003F5C19" w:rsidRDefault="00F1461B" w:rsidP="00F1461B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Facilitates in travel arrangements for field and joint missions, reviews, meetings and provides logistical support;</w:t>
            </w:r>
          </w:p>
          <w:p w:rsidR="00761FB8" w:rsidRDefault="00F1461B" w:rsidP="00761FB8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Provide support to Programme Associate in procurement of goods and services </w:t>
            </w:r>
            <w:r w:rsid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and f</w:t>
            </w:r>
            <w:r w:rsidR="00761FB8" w:rsidRPr="00761F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ollow-ups on deliverables from consultants and ensure timely payments;</w:t>
            </w:r>
          </w:p>
          <w:p w:rsidR="00C14C0B" w:rsidRDefault="00761FB8" w:rsidP="00C14C0B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Provides support for implementation and follow-ups on HACT assurance plans (micro assessment, audit and spot checks).</w:t>
            </w:r>
          </w:p>
          <w:p w:rsidR="002862D6" w:rsidRPr="003F5C19" w:rsidRDefault="002862D6" w:rsidP="00044583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Financial support</w:t>
            </w:r>
          </w:p>
          <w:p w:rsidR="00D53481" w:rsidRPr="003606E1" w:rsidRDefault="003606E1" w:rsidP="00447904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Review IP budgets and p</w:t>
            </w:r>
            <w:r w:rsidR="002862D6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repare</w:t>
            </w:r>
            <w:r w:rsidR="007A080A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2862D6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budget revisions based on approved </w:t>
            </w:r>
            <w:proofErr w:type="spellStart"/>
            <w:r w:rsidR="002862D6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workplans</w:t>
            </w:r>
            <w:proofErr w:type="spellEnd"/>
            <w:r w:rsidR="002862D6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53481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Review</w:t>
            </w:r>
            <w:r w:rsidR="007A080A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D53481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of expenditures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advance</w:t>
            </w:r>
            <w:r w:rsidR="00D53481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submitted by IP in line with approved </w:t>
            </w:r>
            <w:proofErr w:type="spellStart"/>
            <w:r w:rsidR="00D53481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workplan</w:t>
            </w:r>
            <w:proofErr w:type="spellEnd"/>
            <w:r w:rsidR="00D53481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submit them for approval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eFACE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and F.10 claims and other payments 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accuracy and consistency against approved budgets and </w:t>
            </w:r>
            <w:proofErr w:type="gramStart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policies;  </w:t>
            </w:r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proofErr w:type="gramEnd"/>
          </w:p>
          <w:p w:rsidR="002862D6" w:rsidRPr="003F5C19" w:rsidRDefault="002862D6" w:rsidP="00044583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Generates required financial reports </w:t>
            </w:r>
            <w:r w:rsidR="00D53481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from UNFPA </w:t>
            </w:r>
            <w:r w:rsidR="00AD6294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financial</w:t>
            </w:r>
            <w:r w:rsidR="00D53481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reporting portal</w:t>
            </w:r>
            <w:r w:rsidR="00AD6294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AD6294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Cognos</w:t>
            </w:r>
            <w:proofErr w:type="spellEnd"/>
            <w:r w:rsidR="00AD6294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 and share</w:t>
            </w:r>
            <w:r w:rsidR="00D53481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with the programme officers</w:t>
            </w:r>
            <w:r w:rsidR="00AD6294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financial monitoring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</w:p>
          <w:p w:rsidR="002862D6" w:rsidRPr="003F5C19" w:rsidRDefault="00AD6294" w:rsidP="00044583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Check</w:t>
            </w:r>
            <w:r w:rsidR="007A080A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examine</w:t>
            </w:r>
            <w:r w:rsidR="007A080A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2862D6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various financial reports </w:t>
            </w:r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eFACE</w:t>
            </w:r>
            <w:proofErr w:type="spellEnd"/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F10 claims</w:t>
            </w:r>
            <w:r w:rsidR="00B0046D"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other payments</w:t>
            </w:r>
            <w:r w:rsidRPr="003606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Follow-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with </w:t>
            </w: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IPs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the timely submission of quarterly </w:t>
            </w:r>
            <w:proofErr w:type="spellStart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="002862D6"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FACE</w:t>
            </w:r>
            <w:proofErr w:type="spellEnd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work plan progress reports, reimbursement authorisation and submit them for review and approval, </w:t>
            </w:r>
            <w:proofErr w:type="spellStart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incuding</w:t>
            </w:r>
            <w:proofErr w:type="spellEnd"/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monitoring (dates) of submission and approvals.</w:t>
            </w:r>
          </w:p>
          <w:p w:rsidR="002862D6" w:rsidRPr="0049606E" w:rsidRDefault="00AD6294" w:rsidP="0049606E">
            <w:pPr>
              <w:pStyle w:val="Body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F5C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Assists in preparation of requisitions for procurement of goods and services, including mission travel, HR, etc.</w:t>
            </w: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Duration and working schedule: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This consultant will be hired for </w:t>
            </w:r>
            <w:r w:rsidR="00044583">
              <w:rPr>
                <w:bCs/>
                <w:sz w:val="18"/>
                <w:szCs w:val="18"/>
              </w:rPr>
              <w:t>eleven (11)</w:t>
            </w:r>
            <w:r w:rsidRPr="003F5C19">
              <w:rPr>
                <w:bCs/>
                <w:sz w:val="18"/>
                <w:szCs w:val="18"/>
              </w:rPr>
              <w:t xml:space="preserve"> months from the date of recruitment.</w:t>
            </w: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Place where services are to be delivered: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UNFPA Bangladesh Country Office</w:t>
            </w:r>
          </w:p>
        </w:tc>
      </w:tr>
      <w:tr w:rsidR="002862D6" w:rsidRPr="003F5C19" w:rsidTr="00AD6F2C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Delivery dates and how work will be delivered (</w:t>
            </w:r>
            <w:r w:rsidRPr="003F5C19">
              <w:rPr>
                <w:i/>
                <w:sz w:val="18"/>
                <w:szCs w:val="18"/>
              </w:rPr>
              <w:t>e.g.</w:t>
            </w:r>
            <w:r w:rsidRPr="003F5C19">
              <w:rPr>
                <w:sz w:val="18"/>
                <w:szCs w:val="18"/>
              </w:rPr>
              <w:t xml:space="preserve"> electronic, hard copy etc.):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5C6C45">
            <w:pPr>
              <w:tabs>
                <w:tab w:val="left" w:pos="-720"/>
              </w:tabs>
              <w:suppressAutoHyphens/>
              <w:jc w:val="both"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Monthly summary activity report will be submitted by the incumbent and will be reviewed by the supervisor. Before the end of the first month, a work plan will be completed in consultation with the</w:t>
            </w:r>
            <w:r w:rsidR="005C6C45">
              <w:rPr>
                <w:sz w:val="18"/>
                <w:szCs w:val="18"/>
              </w:rPr>
              <w:t xml:space="preserve"> Programme Analyst (Compliance), SRH and Chief of Health</w:t>
            </w:r>
            <w:r w:rsidRPr="003F5C19">
              <w:rPr>
                <w:sz w:val="18"/>
                <w:szCs w:val="18"/>
              </w:rPr>
              <w:t>. Each monthly payment will be based on submission of monthly summary report.</w:t>
            </w:r>
          </w:p>
        </w:tc>
      </w:tr>
      <w:tr w:rsidR="002862D6" w:rsidRPr="003F5C19" w:rsidTr="00AD6F2C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  <w:trHeight w:val="777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Monitoring and progress control, including reporting requirements, periodicity format and deadline: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Monitoring and progress control is conducted on a daily basis and in accordance with the standard operating procedures</w:t>
            </w:r>
          </w:p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lastRenderedPageBreak/>
              <w:t xml:space="preserve">Supervisory arrangements: 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Consultant will be directly reporting to </w:t>
            </w:r>
            <w:r w:rsidR="00B0046D">
              <w:rPr>
                <w:sz w:val="18"/>
                <w:szCs w:val="18"/>
              </w:rPr>
              <w:t>Programme Analyst – Compliance</w:t>
            </w:r>
            <w:r w:rsidR="005C6C45">
              <w:rPr>
                <w:sz w:val="18"/>
                <w:szCs w:val="18"/>
              </w:rPr>
              <w:t>, SRH</w:t>
            </w:r>
            <w:r w:rsidR="00B0046D">
              <w:rPr>
                <w:sz w:val="18"/>
                <w:szCs w:val="18"/>
              </w:rPr>
              <w:t xml:space="preserve"> </w:t>
            </w:r>
            <w:r w:rsidRPr="003F5C19">
              <w:rPr>
                <w:sz w:val="18"/>
                <w:szCs w:val="18"/>
              </w:rPr>
              <w:t xml:space="preserve">and closely work with </w:t>
            </w:r>
            <w:r w:rsidR="00B0046D">
              <w:rPr>
                <w:sz w:val="18"/>
                <w:szCs w:val="18"/>
              </w:rPr>
              <w:t>Programme Associate – SRH</w:t>
            </w:r>
            <w:r w:rsidR="00926A55">
              <w:rPr>
                <w:sz w:val="18"/>
                <w:szCs w:val="18"/>
              </w:rPr>
              <w:t xml:space="preserve"> and overall supervision of the Chief of Health</w:t>
            </w:r>
          </w:p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</w:tc>
      </w:tr>
      <w:tr w:rsidR="002862D6" w:rsidRPr="003F5C19" w:rsidTr="00474C22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  <w:trHeight w:val="372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Expected travel: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474C22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will depend on ongoing restriction of travel and requirement.</w:t>
            </w:r>
          </w:p>
        </w:tc>
      </w:tr>
      <w:tr w:rsidR="002862D6" w:rsidRPr="003F5C19" w:rsidTr="00270917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Required expertise, qualifications and competencies, including language requirements: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63230" w:rsidRPr="00C63230" w:rsidRDefault="00C63230" w:rsidP="00C63230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The following qualification and experience is required: </w:t>
            </w:r>
          </w:p>
          <w:p w:rsidR="002862D6" w:rsidRPr="00C63230" w:rsidRDefault="003121E6" w:rsidP="003121E6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Completion of</w:t>
            </w:r>
            <w:r w:rsidR="002862D6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 secondary level education required. First level university degree in </w:t>
            </w:r>
            <w:r w:rsidR="00ED509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management, social science or </w:t>
            </w:r>
            <w:r w:rsidR="002862D6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project administration desirable.</w:t>
            </w:r>
          </w:p>
          <w:p w:rsidR="002862D6" w:rsidRPr="00C63230" w:rsidRDefault="002862D6" w:rsidP="003121E6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Five (5) years of relevant experience in </w:t>
            </w:r>
            <w:proofErr w:type="spellStart"/>
            <w:r w:rsidR="00C63230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programme</w:t>
            </w:r>
            <w:proofErr w:type="spellEnd"/>
            <w:r w:rsidR="00C63230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, finance or administrative management, preferably in health and/or social sectors</w:t>
            </w:r>
            <w:r w:rsid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 or in any other UN agencies/</w:t>
            </w:r>
            <w:r w:rsidR="004645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 </w:t>
            </w:r>
            <w:r w:rsid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IPs</w:t>
            </w:r>
            <w:r w:rsidR="004645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/ I(NGOs)</w:t>
            </w:r>
            <w:r w:rsid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 will be an added advantage.</w:t>
            </w:r>
          </w:p>
          <w:p w:rsidR="002862D6" w:rsidRPr="00C63230" w:rsidRDefault="002862D6" w:rsidP="003121E6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Knowledge on results based management</w:t>
            </w:r>
            <w:r w:rsidR="00C63230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, monitoring and evaluation </w:t>
            </w:r>
          </w:p>
          <w:p w:rsidR="002862D6" w:rsidRPr="00C63230" w:rsidRDefault="002862D6" w:rsidP="003121E6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Time management and multi-tasking </w:t>
            </w:r>
          </w:p>
          <w:p w:rsidR="002862D6" w:rsidRPr="00C63230" w:rsidRDefault="002862D6" w:rsidP="003121E6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Knowledge of </w:t>
            </w:r>
            <w:r w:rsidR="00C63230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financial management and procurement </w:t>
            </w:r>
          </w:p>
          <w:p w:rsidR="002862D6" w:rsidRPr="00C63230" w:rsidRDefault="002862D6" w:rsidP="006879D9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Proven skil</w:t>
            </w:r>
            <w:r w:rsidR="00C63230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ls in communication and writing and ability </w:t>
            </w: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to express clearly and concisely ideas and concepts in written and oral form.</w:t>
            </w:r>
          </w:p>
          <w:p w:rsidR="002862D6" w:rsidRPr="00C63230" w:rsidRDefault="002862D6" w:rsidP="00C63230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</w:pP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Knowledge of computer systems and applicatio</w:t>
            </w:r>
            <w:r w:rsidR="00C63230"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 xml:space="preserve">ns, preferably </w:t>
            </w:r>
            <w:r w:rsidRPr="00C6323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color="244061"/>
              </w:rPr>
              <w:t>ERP systems</w:t>
            </w:r>
          </w:p>
        </w:tc>
      </w:tr>
      <w:tr w:rsidR="002862D6" w:rsidRPr="003F5C19" w:rsidTr="00AD6F2C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Inputs / services to be provided by U</w:t>
            </w:r>
            <w:r w:rsidR="00464504">
              <w:rPr>
                <w:sz w:val="18"/>
                <w:szCs w:val="18"/>
              </w:rPr>
              <w:t>NFPA or implementing partner (e.</w:t>
            </w:r>
            <w:r w:rsidRPr="003F5C19">
              <w:rPr>
                <w:sz w:val="18"/>
                <w:szCs w:val="18"/>
              </w:rPr>
              <w:t>g</w:t>
            </w:r>
            <w:r w:rsidR="00464504">
              <w:rPr>
                <w:sz w:val="18"/>
                <w:szCs w:val="18"/>
              </w:rPr>
              <w:t>.</w:t>
            </w:r>
            <w:r w:rsidRPr="003F5C19">
              <w:rPr>
                <w:sz w:val="18"/>
                <w:szCs w:val="18"/>
              </w:rPr>
              <w:t xml:space="preserve"> support services, office space, equipment), if applicable: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C63230">
            <w:pPr>
              <w:tabs>
                <w:tab w:val="left" w:pos="-720"/>
              </w:tabs>
              <w:suppressAutoHyphens/>
              <w:jc w:val="both"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The consultant will be responsible for arranging his/her own computer and other working aid equipment.  S/he will be working remotely until the in-person work starts and therefore should have good access to the internet and modern communication methods.  When in-person work in office is announced, the consultant will come to office and fix the office time in consultation with the supervisor. She/he could be sitting in UNFPA office located at IDB/</w:t>
            </w:r>
            <w:proofErr w:type="spellStart"/>
            <w:r w:rsidRPr="003F5C19">
              <w:rPr>
                <w:sz w:val="18"/>
                <w:szCs w:val="18"/>
              </w:rPr>
              <w:t>Gulshan</w:t>
            </w:r>
            <w:proofErr w:type="spellEnd"/>
            <w:r w:rsidRPr="003F5C19">
              <w:rPr>
                <w:sz w:val="18"/>
                <w:szCs w:val="18"/>
              </w:rPr>
              <w:t xml:space="preserve"> office as feasible.</w:t>
            </w:r>
          </w:p>
        </w:tc>
      </w:tr>
      <w:tr w:rsidR="002862D6" w:rsidRPr="003F5C19" w:rsidTr="00AD6F2C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18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Other relevant information or special conditions, if any: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</w:tc>
      </w:tr>
      <w:tr w:rsidR="002862D6" w:rsidRPr="003F5C19" w:rsidTr="00AD6F2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9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Payment Instruction: </w:t>
            </w:r>
          </w:p>
        </w:tc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The consultant will be paid on a monthly basis subject to submission of his/her monthly report. </w:t>
            </w:r>
          </w:p>
        </w:tc>
      </w:tr>
      <w:tr w:rsidR="002862D6" w:rsidRPr="003F5C19" w:rsidTr="00AD6F2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9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Level of the Consultant:  </w:t>
            </w:r>
          </w:p>
        </w:tc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rPr>
                <w:sz w:val="18"/>
                <w:szCs w:val="18"/>
                <w:highlight w:val="yellow"/>
              </w:rPr>
            </w:pPr>
            <w:r w:rsidRPr="003F5C19">
              <w:rPr>
                <w:sz w:val="18"/>
                <w:szCs w:val="18"/>
              </w:rPr>
              <w:t>Commensurable to the qualification and experience of the selected Consultant as per the IC guideline.</w:t>
            </w:r>
          </w:p>
        </w:tc>
      </w:tr>
      <w:tr w:rsidR="002862D6" w:rsidRPr="003F5C19" w:rsidTr="00AD6F2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Other relevant information or special conditions, if any:</w:t>
            </w:r>
          </w:p>
        </w:tc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</w:p>
          <w:p w:rsidR="002862D6" w:rsidRPr="003F5C19" w:rsidRDefault="002862D6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Working arrangement will be 40 hours/week </w:t>
            </w:r>
          </w:p>
          <w:p w:rsidR="002862D6" w:rsidRPr="003F5C19" w:rsidRDefault="002862D6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</w:p>
        </w:tc>
      </w:tr>
      <w:tr w:rsidR="002862D6" w:rsidRPr="003F5C19" w:rsidTr="004D58C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1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COA</w:t>
            </w:r>
          </w:p>
          <w:p w:rsidR="002862D6" w:rsidRPr="003F5C19" w:rsidRDefault="002862D6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BGD09MRG-TALOC070SHGFPA-BGA03-PU0074-71300</w:t>
            </w:r>
          </w:p>
        </w:tc>
      </w:tr>
      <w:tr w:rsidR="002862D6" w:rsidRPr="003F5C19" w:rsidTr="001E60E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63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D6" w:rsidRPr="003F5C19" w:rsidRDefault="002862D6" w:rsidP="00474C22">
            <w:pPr>
              <w:tabs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3F5C19">
              <w:rPr>
                <w:b/>
                <w:sz w:val="18"/>
                <w:szCs w:val="18"/>
              </w:rPr>
              <w:t>Application instruction:</w:t>
            </w:r>
          </w:p>
          <w:p w:rsidR="002862D6" w:rsidRPr="003F5C19" w:rsidRDefault="002862D6" w:rsidP="00474C22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Applicants with the required qualifications and experience stated above (required expertise, qualifications and competencies, including language requirements) should submit a copy of curriculum vitae (CV) with a cover letter.</w:t>
            </w:r>
          </w:p>
          <w:p w:rsidR="000B11EE" w:rsidRDefault="002862D6" w:rsidP="001A1545">
            <w:pPr>
              <w:tabs>
                <w:tab w:val="left" w:pos="-72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3F5C19">
              <w:rPr>
                <w:sz w:val="18"/>
                <w:szCs w:val="18"/>
              </w:rPr>
              <w:t xml:space="preserve">Please send your application electronically to dedicated email addresses of: </w:t>
            </w:r>
            <w:hyperlink r:id="rId7" w:history="1">
              <w:r w:rsidR="009D23D1" w:rsidRPr="00E76252">
                <w:rPr>
                  <w:rStyle w:val="Hyperlink"/>
                  <w:b/>
                  <w:sz w:val="18"/>
                  <w:szCs w:val="18"/>
                </w:rPr>
                <w:t>unfpa-bangladesh@unfpa.org</w:t>
              </w:r>
            </w:hyperlink>
            <w:r w:rsidR="00003EA4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A1545" w:rsidRPr="003F5C19" w:rsidRDefault="001A1545" w:rsidP="001A1545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Please mention the title of the consultancy in the subject line of the email.</w:t>
            </w:r>
          </w:p>
          <w:p w:rsidR="002862D6" w:rsidRPr="003F5C19" w:rsidRDefault="002862D6" w:rsidP="00474C22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Note: Only those candidates who meet all qualifications and experience will be contacted for further consideration.</w:t>
            </w:r>
          </w:p>
          <w:p w:rsidR="002862D6" w:rsidRPr="00003EA4" w:rsidRDefault="002862D6" w:rsidP="00474C22">
            <w:pPr>
              <w:tabs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003EA4">
              <w:rPr>
                <w:b/>
                <w:sz w:val="18"/>
                <w:szCs w:val="18"/>
              </w:rPr>
              <w:t xml:space="preserve">Female candidates are encouraged to apply. </w:t>
            </w:r>
          </w:p>
          <w:p w:rsidR="002862D6" w:rsidRPr="003F5C19" w:rsidRDefault="002862D6" w:rsidP="00474C22">
            <w:pPr>
              <w:tabs>
                <w:tab w:val="left" w:pos="-720"/>
              </w:tabs>
              <w:suppressAutoHyphens/>
              <w:jc w:val="center"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The application deadline is </w:t>
            </w:r>
            <w:r w:rsidR="00861F61" w:rsidRPr="003F5C19">
              <w:rPr>
                <w:b/>
                <w:sz w:val="18"/>
                <w:szCs w:val="18"/>
              </w:rPr>
              <w:t>26</w:t>
            </w:r>
            <w:r w:rsidRPr="003F5C19">
              <w:rPr>
                <w:b/>
                <w:sz w:val="18"/>
                <w:szCs w:val="18"/>
              </w:rPr>
              <w:t xml:space="preserve"> May 2021</w:t>
            </w:r>
          </w:p>
        </w:tc>
      </w:tr>
      <w:tr w:rsidR="00861F61" w:rsidRPr="003F5C19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Name and Signature of Requesting Officer:  </w:t>
            </w:r>
          </w:p>
          <w:p w:rsidR="00861F61" w:rsidRPr="003F5C19" w:rsidRDefault="0072767A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72767A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936223A" wp14:editId="4CCBCAC2">
                  <wp:simplePos x="0" y="0"/>
                  <wp:positionH relativeFrom="column">
                    <wp:posOffset>33515</wp:posOffset>
                  </wp:positionH>
                  <wp:positionV relativeFrom="paragraph">
                    <wp:posOffset>1371</wp:posOffset>
                  </wp:positionV>
                  <wp:extent cx="829945" cy="280035"/>
                  <wp:effectExtent l="0" t="0" r="825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karia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              </w:t>
            </w:r>
          </w:p>
          <w:p w:rsidR="00861F61" w:rsidRPr="003F5C19" w:rsidRDefault="00861F61" w:rsidP="009E51F9">
            <w:pPr>
              <w:tabs>
                <w:tab w:val="left" w:pos="-720"/>
              </w:tabs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Sheikh Md. </w:t>
            </w:r>
            <w:proofErr w:type="spellStart"/>
            <w:r w:rsidRPr="003F5C19">
              <w:rPr>
                <w:sz w:val="18"/>
                <w:szCs w:val="18"/>
              </w:rPr>
              <w:t>Jakaria</w:t>
            </w:r>
            <w:proofErr w:type="spellEnd"/>
            <w:r w:rsidRPr="003F5C19">
              <w:rPr>
                <w:sz w:val="18"/>
                <w:szCs w:val="18"/>
              </w:rPr>
              <w:t>, Programme Analyst</w:t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  <w:t xml:space="preserve">Date: </w:t>
            </w:r>
            <w:r w:rsidR="009E51F9">
              <w:rPr>
                <w:sz w:val="18"/>
                <w:szCs w:val="18"/>
              </w:rPr>
              <w:t>6</w:t>
            </w:r>
            <w:r w:rsidRPr="003F5C19">
              <w:rPr>
                <w:sz w:val="18"/>
                <w:szCs w:val="18"/>
              </w:rPr>
              <w:t xml:space="preserve"> May 2021</w:t>
            </w:r>
          </w:p>
        </w:tc>
      </w:tr>
      <w:tr w:rsidR="00861F61" w:rsidRPr="003F5C19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Endorsed by: </w:t>
            </w:r>
          </w:p>
          <w:p w:rsidR="00861F61" w:rsidRPr="003F5C19" w:rsidRDefault="0072767A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72767A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AC3F0FA" wp14:editId="3A006563">
                  <wp:simplePos x="0" y="0"/>
                  <wp:positionH relativeFrom="column">
                    <wp:posOffset>33222</wp:posOffset>
                  </wp:positionH>
                  <wp:positionV relativeFrom="paragraph">
                    <wp:posOffset>12283</wp:posOffset>
                  </wp:positionV>
                  <wp:extent cx="264160" cy="240665"/>
                  <wp:effectExtent l="0" t="0" r="254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s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  <w:p w:rsidR="00861F61" w:rsidRPr="003F5C19" w:rsidRDefault="00861F61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Abu Sayed Md. Hasan, Programme Specialist, SRH</w:t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  <w:t xml:space="preserve">Date: </w:t>
            </w:r>
            <w:r w:rsidR="0072767A">
              <w:rPr>
                <w:sz w:val="18"/>
                <w:szCs w:val="18"/>
              </w:rPr>
              <w:t>6</w:t>
            </w:r>
            <w:r w:rsidR="0072767A" w:rsidRPr="003F5C19">
              <w:rPr>
                <w:sz w:val="18"/>
                <w:szCs w:val="18"/>
              </w:rPr>
              <w:t xml:space="preserve"> May 2021</w:t>
            </w:r>
          </w:p>
        </w:tc>
      </w:tr>
      <w:tr w:rsidR="00861F61" w:rsidRPr="003F5C19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Cleared by: </w:t>
            </w:r>
          </w:p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  <w:p w:rsidR="00464504" w:rsidRPr="003F5C19" w:rsidRDefault="00AC135B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88BD6A" wp14:editId="4DD75E01">
                  <wp:extent cx="1358900" cy="317500"/>
                  <wp:effectExtent l="0" t="0" r="0" b="6350"/>
                  <wp:docPr id="4" name="Picture 4" descr="Signature file_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e file_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61" w:rsidRPr="003F5C19" w:rsidRDefault="00861F61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  <w:proofErr w:type="spellStart"/>
            <w:r w:rsidRPr="003F5C19">
              <w:rPr>
                <w:sz w:val="18"/>
                <w:szCs w:val="18"/>
              </w:rPr>
              <w:t>Vibhavendra</w:t>
            </w:r>
            <w:proofErr w:type="spellEnd"/>
            <w:r w:rsidRPr="003F5C19">
              <w:rPr>
                <w:sz w:val="18"/>
                <w:szCs w:val="18"/>
              </w:rPr>
              <w:t xml:space="preserve"> S. </w:t>
            </w:r>
            <w:proofErr w:type="spellStart"/>
            <w:r w:rsidRPr="003F5C19">
              <w:rPr>
                <w:sz w:val="18"/>
                <w:szCs w:val="18"/>
              </w:rPr>
              <w:t>Raghuvansi</w:t>
            </w:r>
            <w:proofErr w:type="spellEnd"/>
            <w:r w:rsidRPr="003F5C19">
              <w:rPr>
                <w:sz w:val="18"/>
                <w:szCs w:val="18"/>
              </w:rPr>
              <w:t>, Chief of Health</w:t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  <w:t xml:space="preserve">Date: </w:t>
            </w:r>
            <w:r w:rsidR="00AC135B">
              <w:rPr>
                <w:sz w:val="18"/>
                <w:szCs w:val="18"/>
              </w:rPr>
              <w:t>6 May 2021</w:t>
            </w:r>
          </w:p>
        </w:tc>
      </w:tr>
      <w:tr w:rsidR="00861F61" w:rsidRPr="003F5C19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Cleared by Operations: </w:t>
            </w:r>
          </w:p>
          <w:p w:rsidR="00861F61" w:rsidRPr="003F5C19" w:rsidRDefault="00861F61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</w:p>
          <w:p w:rsidR="00861F61" w:rsidRDefault="001F28ED" w:rsidP="00474C22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1F28ED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D488134" wp14:editId="119187E0">
                  <wp:extent cx="628650" cy="373792"/>
                  <wp:effectExtent l="0" t="0" r="0" b="7620"/>
                  <wp:docPr id="5" name="Picture 5" descr="D:\YZB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ZB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96" cy="38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61" w:rsidRPr="003F5C19" w:rsidRDefault="00861F61" w:rsidP="00474C22">
            <w:pPr>
              <w:tabs>
                <w:tab w:val="left" w:pos="-720"/>
              </w:tabs>
              <w:rPr>
                <w:sz w:val="18"/>
                <w:szCs w:val="18"/>
              </w:rPr>
            </w:pPr>
            <w:proofErr w:type="spellStart"/>
            <w:r w:rsidRPr="003F5C19">
              <w:rPr>
                <w:sz w:val="18"/>
                <w:szCs w:val="18"/>
              </w:rPr>
              <w:t>Yitbarek</w:t>
            </w:r>
            <w:proofErr w:type="spellEnd"/>
            <w:r w:rsidRPr="003F5C19">
              <w:rPr>
                <w:sz w:val="18"/>
                <w:szCs w:val="18"/>
              </w:rPr>
              <w:t xml:space="preserve"> </w:t>
            </w:r>
            <w:proofErr w:type="spellStart"/>
            <w:r w:rsidRPr="003F5C19">
              <w:rPr>
                <w:sz w:val="18"/>
                <w:szCs w:val="18"/>
              </w:rPr>
              <w:t>Zewdie</w:t>
            </w:r>
            <w:proofErr w:type="spellEnd"/>
            <w:r w:rsidRPr="003F5C19">
              <w:rPr>
                <w:sz w:val="18"/>
                <w:szCs w:val="18"/>
              </w:rPr>
              <w:t xml:space="preserve"> </w:t>
            </w:r>
            <w:proofErr w:type="spellStart"/>
            <w:r w:rsidRPr="003F5C19">
              <w:rPr>
                <w:sz w:val="18"/>
                <w:szCs w:val="18"/>
              </w:rPr>
              <w:t>Beshah</w:t>
            </w:r>
            <w:proofErr w:type="spellEnd"/>
            <w:r w:rsidRPr="003F5C19">
              <w:rPr>
                <w:sz w:val="18"/>
                <w:szCs w:val="18"/>
              </w:rPr>
              <w:t>, International Operations Manager</w:t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ab/>
            </w:r>
            <w:r w:rsidR="00003EA4">
              <w:rPr>
                <w:sz w:val="18"/>
                <w:szCs w:val="18"/>
              </w:rPr>
              <w:tab/>
            </w:r>
            <w:r w:rsidRPr="003F5C19">
              <w:rPr>
                <w:sz w:val="18"/>
                <w:szCs w:val="18"/>
              </w:rPr>
              <w:t xml:space="preserve">Date: </w:t>
            </w:r>
            <w:r w:rsidR="001F28ED">
              <w:rPr>
                <w:sz w:val="18"/>
                <w:szCs w:val="18"/>
              </w:rPr>
              <w:t>06/05/2021</w:t>
            </w:r>
          </w:p>
        </w:tc>
      </w:tr>
      <w:tr w:rsidR="002862D6" w:rsidRPr="003F5C19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D6" w:rsidRPr="00003EA4" w:rsidRDefault="002862D6" w:rsidP="00474C22">
            <w:pPr>
              <w:tabs>
                <w:tab w:val="left" w:pos="-720"/>
                <w:tab w:val="left" w:pos="2990"/>
              </w:tabs>
              <w:jc w:val="both"/>
              <w:rPr>
                <w:b/>
                <w:sz w:val="18"/>
                <w:szCs w:val="18"/>
              </w:rPr>
            </w:pPr>
            <w:r w:rsidRPr="00003EA4">
              <w:rPr>
                <w:b/>
                <w:sz w:val="18"/>
                <w:szCs w:val="18"/>
              </w:rPr>
              <w:t>Approved by</w:t>
            </w:r>
            <w:r w:rsidR="00003EA4">
              <w:rPr>
                <w:b/>
                <w:sz w:val="18"/>
                <w:szCs w:val="18"/>
              </w:rPr>
              <w:t>:</w:t>
            </w:r>
          </w:p>
          <w:p w:rsidR="002862D6" w:rsidRPr="003F5C19" w:rsidRDefault="002862D6" w:rsidP="00474C22">
            <w:pPr>
              <w:tabs>
                <w:tab w:val="left" w:pos="-720"/>
                <w:tab w:val="left" w:pos="2990"/>
              </w:tabs>
              <w:jc w:val="both"/>
              <w:rPr>
                <w:sz w:val="18"/>
                <w:szCs w:val="18"/>
              </w:rPr>
            </w:pPr>
          </w:p>
          <w:p w:rsidR="002862D6" w:rsidRDefault="00612507" w:rsidP="00474C22">
            <w:pPr>
              <w:tabs>
                <w:tab w:val="left" w:pos="-720"/>
                <w:tab w:val="left" w:pos="2990"/>
              </w:tabs>
              <w:rPr>
                <w:sz w:val="18"/>
                <w:szCs w:val="18"/>
              </w:rPr>
            </w:pPr>
            <w:r>
              <w:object w:dxaOrig="28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5pt;height:36.5pt" o:ole="">
                  <v:imagedata r:id="rId13" o:title=""/>
                </v:shape>
                <o:OLEObject Type="Embed" ProgID="PBrush" ShapeID="_x0000_i1025" DrawAspect="Content" ObjectID="_1682249486" r:id="rId14"/>
              </w:object>
            </w:r>
          </w:p>
          <w:p w:rsidR="00464504" w:rsidRPr="003F5C19" w:rsidRDefault="00464504" w:rsidP="00474C22">
            <w:pPr>
              <w:tabs>
                <w:tab w:val="left" w:pos="-720"/>
                <w:tab w:val="left" w:pos="2990"/>
              </w:tabs>
              <w:rPr>
                <w:sz w:val="18"/>
                <w:szCs w:val="18"/>
              </w:rPr>
            </w:pPr>
          </w:p>
          <w:p w:rsidR="002862D6" w:rsidRPr="003F5C19" w:rsidRDefault="002862D6" w:rsidP="00474C22">
            <w:pPr>
              <w:tabs>
                <w:tab w:val="left" w:pos="-720"/>
                <w:tab w:val="left" w:pos="2990"/>
              </w:tabs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>Name and Designation: Asa Torkelsson, Country Representative, UNFPA, Bangladesh</w:t>
            </w:r>
          </w:p>
          <w:p w:rsidR="002862D6" w:rsidRPr="003F5C19" w:rsidRDefault="002862D6" w:rsidP="005C6C45">
            <w:pPr>
              <w:tabs>
                <w:tab w:val="left" w:pos="-720"/>
                <w:tab w:val="left" w:pos="2990"/>
              </w:tabs>
              <w:rPr>
                <w:sz w:val="18"/>
                <w:szCs w:val="18"/>
              </w:rPr>
            </w:pPr>
            <w:r w:rsidRPr="003F5C19">
              <w:rPr>
                <w:sz w:val="18"/>
                <w:szCs w:val="18"/>
              </w:rPr>
              <w:t xml:space="preserve">Date: </w:t>
            </w:r>
            <w:r w:rsidR="00612507">
              <w:rPr>
                <w:sz w:val="18"/>
                <w:szCs w:val="18"/>
              </w:rPr>
              <w:t>6 May 2021</w:t>
            </w:r>
          </w:p>
        </w:tc>
      </w:tr>
    </w:tbl>
    <w:p w:rsidR="00A905F7" w:rsidRPr="003F5C19" w:rsidRDefault="00A905F7">
      <w:pPr>
        <w:rPr>
          <w:sz w:val="16"/>
          <w:szCs w:val="16"/>
        </w:rPr>
      </w:pPr>
    </w:p>
    <w:sectPr w:rsidR="00A905F7" w:rsidRPr="003F5C19" w:rsidSect="00D307A0">
      <w:headerReference w:type="default" r:id="rId15"/>
      <w:pgSz w:w="11906" w:h="16838" w:code="9"/>
      <w:pgMar w:top="117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AB" w:rsidRDefault="000F62AB">
      <w:r>
        <w:separator/>
      </w:r>
    </w:p>
  </w:endnote>
  <w:endnote w:type="continuationSeparator" w:id="0">
    <w:p w:rsidR="000F62AB" w:rsidRDefault="000F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AB" w:rsidRDefault="000F62AB">
      <w:r>
        <w:separator/>
      </w:r>
    </w:p>
  </w:footnote>
  <w:footnote w:type="continuationSeparator" w:id="0">
    <w:p w:rsidR="000F62AB" w:rsidRDefault="000F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D6" w:rsidRDefault="002862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editId="27CCC885">
          <wp:simplePos x="0" y="0"/>
          <wp:positionH relativeFrom="column">
            <wp:posOffset>-487976</wp:posOffset>
          </wp:positionH>
          <wp:positionV relativeFrom="paragraph">
            <wp:posOffset>-218810</wp:posOffset>
          </wp:positionV>
          <wp:extent cx="1072515" cy="504825"/>
          <wp:effectExtent l="0" t="0" r="0" b="9525"/>
          <wp:wrapThrough wrapText="bothSides">
            <wp:wrapPolygon edited="0">
              <wp:start x="384" y="0"/>
              <wp:lineTo x="0" y="1630"/>
              <wp:lineTo x="0" y="20377"/>
              <wp:lineTo x="767" y="21192"/>
              <wp:lineTo x="14963" y="21192"/>
              <wp:lineTo x="17648" y="21192"/>
              <wp:lineTo x="18799" y="21192"/>
              <wp:lineTo x="21101" y="15487"/>
              <wp:lineTo x="21101" y="3260"/>
              <wp:lineTo x="18032" y="0"/>
              <wp:lineTo x="384" y="0"/>
            </wp:wrapPolygon>
          </wp:wrapThrough>
          <wp:docPr id="1" name="Picture 1" descr="unf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7710CC"/>
    <w:multiLevelType w:val="multilevel"/>
    <w:tmpl w:val="CBEA6F4A"/>
    <w:numStyleLink w:val="StyleBulleted"/>
  </w:abstractNum>
  <w:abstractNum w:abstractNumId="7" w15:restartNumberingAfterBreak="0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8" w15:restartNumberingAfterBreak="0">
    <w:nsid w:val="11BA3B83"/>
    <w:multiLevelType w:val="hybridMultilevel"/>
    <w:tmpl w:val="BB10F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60108"/>
    <w:multiLevelType w:val="multilevel"/>
    <w:tmpl w:val="CBEA6F4A"/>
    <w:numStyleLink w:val="StyleBulleted"/>
  </w:abstractNum>
  <w:abstractNum w:abstractNumId="10" w15:restartNumberingAfterBreak="0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938"/>
    <w:multiLevelType w:val="multilevel"/>
    <w:tmpl w:val="CBEA6F4A"/>
    <w:numStyleLink w:val="StyleBulleted"/>
  </w:abstractNum>
  <w:abstractNum w:abstractNumId="21" w15:restartNumberingAfterBreak="0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2" w15:restartNumberingAfterBreak="0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A3037"/>
    <w:multiLevelType w:val="multilevel"/>
    <w:tmpl w:val="CBEA6F4A"/>
    <w:numStyleLink w:val="StyleBulleted"/>
  </w:abstractNum>
  <w:abstractNum w:abstractNumId="28" w15:restartNumberingAfterBreak="0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518B8"/>
    <w:multiLevelType w:val="multilevel"/>
    <w:tmpl w:val="CBEA6F4A"/>
    <w:numStyleLink w:val="StyleBulleted"/>
  </w:abstractNum>
  <w:abstractNum w:abstractNumId="30" w15:restartNumberingAfterBreak="0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65102B"/>
    <w:multiLevelType w:val="multilevel"/>
    <w:tmpl w:val="CBEA6F4A"/>
    <w:numStyleLink w:val="StyleBulleted"/>
  </w:abstractNum>
  <w:abstractNum w:abstractNumId="33" w15:restartNumberingAfterBreak="0">
    <w:nsid w:val="7A056DC9"/>
    <w:multiLevelType w:val="hybridMultilevel"/>
    <w:tmpl w:val="26A01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E7B037B"/>
    <w:multiLevelType w:val="hybridMultilevel"/>
    <w:tmpl w:val="A6B87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31"/>
  </w:num>
  <w:num w:numId="6">
    <w:abstractNumId w:val="18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5"/>
  </w:num>
  <w:num w:numId="10">
    <w:abstractNumId w:val="24"/>
  </w:num>
  <w:num w:numId="11">
    <w:abstractNumId w:val="11"/>
  </w:num>
  <w:num w:numId="12">
    <w:abstractNumId w:val="19"/>
  </w:num>
  <w:num w:numId="13">
    <w:abstractNumId w:val="27"/>
  </w:num>
  <w:num w:numId="14">
    <w:abstractNumId w:val="32"/>
  </w:num>
  <w:num w:numId="15">
    <w:abstractNumId w:val="29"/>
  </w:num>
  <w:num w:numId="16">
    <w:abstractNumId w:val="9"/>
  </w:num>
  <w:num w:numId="17">
    <w:abstractNumId w:val="20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21"/>
  </w:num>
  <w:num w:numId="29">
    <w:abstractNumId w:val="12"/>
  </w:num>
  <w:num w:numId="30">
    <w:abstractNumId w:val="14"/>
  </w:num>
  <w:num w:numId="31">
    <w:abstractNumId w:val="14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3"/>
  </w:num>
  <w:num w:numId="33">
    <w:abstractNumId w:val="26"/>
  </w:num>
  <w:num w:numId="34">
    <w:abstractNumId w:val="10"/>
  </w:num>
  <w:num w:numId="35">
    <w:abstractNumId w:val="16"/>
  </w:num>
  <w:num w:numId="36">
    <w:abstractNumId w:val="35"/>
  </w:num>
  <w:num w:numId="37">
    <w:abstractNumId w:val="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03EA4"/>
    <w:rsid w:val="00010006"/>
    <w:rsid w:val="00017A74"/>
    <w:rsid w:val="00023B72"/>
    <w:rsid w:val="00024731"/>
    <w:rsid w:val="00025085"/>
    <w:rsid w:val="000316CB"/>
    <w:rsid w:val="00031EBC"/>
    <w:rsid w:val="0004068F"/>
    <w:rsid w:val="00042CED"/>
    <w:rsid w:val="00042FBE"/>
    <w:rsid w:val="00044583"/>
    <w:rsid w:val="0004566B"/>
    <w:rsid w:val="00047F28"/>
    <w:rsid w:val="0005533B"/>
    <w:rsid w:val="00060BBA"/>
    <w:rsid w:val="00061213"/>
    <w:rsid w:val="00062691"/>
    <w:rsid w:val="000704AF"/>
    <w:rsid w:val="0007464B"/>
    <w:rsid w:val="000859AA"/>
    <w:rsid w:val="000879BB"/>
    <w:rsid w:val="0009348D"/>
    <w:rsid w:val="000966A6"/>
    <w:rsid w:val="00097EE9"/>
    <w:rsid w:val="000A0423"/>
    <w:rsid w:val="000A0C0D"/>
    <w:rsid w:val="000A2C33"/>
    <w:rsid w:val="000A5B2C"/>
    <w:rsid w:val="000B11EE"/>
    <w:rsid w:val="000B606F"/>
    <w:rsid w:val="000C3395"/>
    <w:rsid w:val="000D0633"/>
    <w:rsid w:val="000D2521"/>
    <w:rsid w:val="000D30D3"/>
    <w:rsid w:val="000D42E4"/>
    <w:rsid w:val="000E0839"/>
    <w:rsid w:val="000E5DA0"/>
    <w:rsid w:val="000E6D0B"/>
    <w:rsid w:val="000F4CA3"/>
    <w:rsid w:val="000F4E41"/>
    <w:rsid w:val="000F5261"/>
    <w:rsid w:val="000F62AB"/>
    <w:rsid w:val="00103ACB"/>
    <w:rsid w:val="00113252"/>
    <w:rsid w:val="001152A2"/>
    <w:rsid w:val="00117A6B"/>
    <w:rsid w:val="001208F2"/>
    <w:rsid w:val="0012733B"/>
    <w:rsid w:val="00132819"/>
    <w:rsid w:val="00132C9A"/>
    <w:rsid w:val="0013415A"/>
    <w:rsid w:val="00141676"/>
    <w:rsid w:val="001416C5"/>
    <w:rsid w:val="0014380A"/>
    <w:rsid w:val="00151808"/>
    <w:rsid w:val="0015205B"/>
    <w:rsid w:val="001602DE"/>
    <w:rsid w:val="00161275"/>
    <w:rsid w:val="0016148C"/>
    <w:rsid w:val="0016354A"/>
    <w:rsid w:val="001711DB"/>
    <w:rsid w:val="00171A3E"/>
    <w:rsid w:val="0017222B"/>
    <w:rsid w:val="001728F7"/>
    <w:rsid w:val="00172DBA"/>
    <w:rsid w:val="00176EE3"/>
    <w:rsid w:val="001824B6"/>
    <w:rsid w:val="0018616B"/>
    <w:rsid w:val="00187621"/>
    <w:rsid w:val="001924F2"/>
    <w:rsid w:val="001937A9"/>
    <w:rsid w:val="001A036E"/>
    <w:rsid w:val="001A03AB"/>
    <w:rsid w:val="001A0892"/>
    <w:rsid w:val="001A0F89"/>
    <w:rsid w:val="001A1545"/>
    <w:rsid w:val="001A1BC8"/>
    <w:rsid w:val="001A3CB7"/>
    <w:rsid w:val="001A7E63"/>
    <w:rsid w:val="001B3CF3"/>
    <w:rsid w:val="001B7014"/>
    <w:rsid w:val="001C3D35"/>
    <w:rsid w:val="001C40EF"/>
    <w:rsid w:val="001C5D96"/>
    <w:rsid w:val="001C5F76"/>
    <w:rsid w:val="001C662C"/>
    <w:rsid w:val="001D1299"/>
    <w:rsid w:val="001D753F"/>
    <w:rsid w:val="001E0571"/>
    <w:rsid w:val="001F0B8D"/>
    <w:rsid w:val="001F1D4C"/>
    <w:rsid w:val="001F28ED"/>
    <w:rsid w:val="001F2C1B"/>
    <w:rsid w:val="00203D9C"/>
    <w:rsid w:val="00210056"/>
    <w:rsid w:val="00210129"/>
    <w:rsid w:val="0021067F"/>
    <w:rsid w:val="00217803"/>
    <w:rsid w:val="0022378A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0917"/>
    <w:rsid w:val="00273279"/>
    <w:rsid w:val="00275001"/>
    <w:rsid w:val="00275459"/>
    <w:rsid w:val="002763C6"/>
    <w:rsid w:val="002814C4"/>
    <w:rsid w:val="00282B22"/>
    <w:rsid w:val="002862D6"/>
    <w:rsid w:val="002933DE"/>
    <w:rsid w:val="0029429B"/>
    <w:rsid w:val="00294C63"/>
    <w:rsid w:val="0029580D"/>
    <w:rsid w:val="00295CB7"/>
    <w:rsid w:val="00296F68"/>
    <w:rsid w:val="002A21A4"/>
    <w:rsid w:val="002A66EF"/>
    <w:rsid w:val="002B2A3E"/>
    <w:rsid w:val="002B38BA"/>
    <w:rsid w:val="002B719D"/>
    <w:rsid w:val="002C5D79"/>
    <w:rsid w:val="002D1AF0"/>
    <w:rsid w:val="002D26D6"/>
    <w:rsid w:val="002D4C73"/>
    <w:rsid w:val="002D52EE"/>
    <w:rsid w:val="002E2448"/>
    <w:rsid w:val="002E70C1"/>
    <w:rsid w:val="002F1761"/>
    <w:rsid w:val="002F1B14"/>
    <w:rsid w:val="002F3B85"/>
    <w:rsid w:val="002F624B"/>
    <w:rsid w:val="002F7430"/>
    <w:rsid w:val="0030275C"/>
    <w:rsid w:val="00307458"/>
    <w:rsid w:val="00307F6E"/>
    <w:rsid w:val="003121E6"/>
    <w:rsid w:val="00313F74"/>
    <w:rsid w:val="0031409A"/>
    <w:rsid w:val="003166B6"/>
    <w:rsid w:val="0031685B"/>
    <w:rsid w:val="00321ADF"/>
    <w:rsid w:val="00321BD8"/>
    <w:rsid w:val="00326141"/>
    <w:rsid w:val="00330E24"/>
    <w:rsid w:val="003415F3"/>
    <w:rsid w:val="003509A0"/>
    <w:rsid w:val="00357F60"/>
    <w:rsid w:val="003606E1"/>
    <w:rsid w:val="0036084E"/>
    <w:rsid w:val="00363629"/>
    <w:rsid w:val="0036473B"/>
    <w:rsid w:val="00370722"/>
    <w:rsid w:val="00372821"/>
    <w:rsid w:val="00372D82"/>
    <w:rsid w:val="003750FC"/>
    <w:rsid w:val="00375126"/>
    <w:rsid w:val="003813B3"/>
    <w:rsid w:val="00381A0E"/>
    <w:rsid w:val="0038286A"/>
    <w:rsid w:val="003866E9"/>
    <w:rsid w:val="003872A8"/>
    <w:rsid w:val="00390ED4"/>
    <w:rsid w:val="003915FA"/>
    <w:rsid w:val="003934C2"/>
    <w:rsid w:val="00393B99"/>
    <w:rsid w:val="00396E12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F1132"/>
    <w:rsid w:val="003F5C19"/>
    <w:rsid w:val="003F7798"/>
    <w:rsid w:val="0040033F"/>
    <w:rsid w:val="00400D44"/>
    <w:rsid w:val="00405F12"/>
    <w:rsid w:val="00406925"/>
    <w:rsid w:val="0041393A"/>
    <w:rsid w:val="004168C4"/>
    <w:rsid w:val="00421F5B"/>
    <w:rsid w:val="00422DC0"/>
    <w:rsid w:val="004234A5"/>
    <w:rsid w:val="00423C45"/>
    <w:rsid w:val="004258E4"/>
    <w:rsid w:val="00444B0E"/>
    <w:rsid w:val="00446CA0"/>
    <w:rsid w:val="00446D98"/>
    <w:rsid w:val="00447904"/>
    <w:rsid w:val="00447A32"/>
    <w:rsid w:val="00450EB2"/>
    <w:rsid w:val="00452B40"/>
    <w:rsid w:val="00453D96"/>
    <w:rsid w:val="00454EB6"/>
    <w:rsid w:val="00457E7B"/>
    <w:rsid w:val="00460CE3"/>
    <w:rsid w:val="00460D36"/>
    <w:rsid w:val="004628B8"/>
    <w:rsid w:val="00464504"/>
    <w:rsid w:val="00471FBB"/>
    <w:rsid w:val="004727BC"/>
    <w:rsid w:val="0047374E"/>
    <w:rsid w:val="00474C22"/>
    <w:rsid w:val="00476161"/>
    <w:rsid w:val="00483BBD"/>
    <w:rsid w:val="004860DB"/>
    <w:rsid w:val="0049017C"/>
    <w:rsid w:val="0049606E"/>
    <w:rsid w:val="00497C7D"/>
    <w:rsid w:val="004A11ED"/>
    <w:rsid w:val="004A14D6"/>
    <w:rsid w:val="004A357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D58CF"/>
    <w:rsid w:val="004E2242"/>
    <w:rsid w:val="004E3C88"/>
    <w:rsid w:val="004E4F62"/>
    <w:rsid w:val="004E6460"/>
    <w:rsid w:val="004F032C"/>
    <w:rsid w:val="004F27BD"/>
    <w:rsid w:val="004F361D"/>
    <w:rsid w:val="004F6675"/>
    <w:rsid w:val="004F68D7"/>
    <w:rsid w:val="004F6A9A"/>
    <w:rsid w:val="0050014D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208CB"/>
    <w:rsid w:val="00523C5B"/>
    <w:rsid w:val="00523E4C"/>
    <w:rsid w:val="00527D16"/>
    <w:rsid w:val="005316AE"/>
    <w:rsid w:val="00532510"/>
    <w:rsid w:val="0053386D"/>
    <w:rsid w:val="00533917"/>
    <w:rsid w:val="005352A3"/>
    <w:rsid w:val="0054147C"/>
    <w:rsid w:val="005460F8"/>
    <w:rsid w:val="00546B37"/>
    <w:rsid w:val="00557EFC"/>
    <w:rsid w:val="0056183E"/>
    <w:rsid w:val="005630E9"/>
    <w:rsid w:val="00563D25"/>
    <w:rsid w:val="005663EA"/>
    <w:rsid w:val="00572AF2"/>
    <w:rsid w:val="00577388"/>
    <w:rsid w:val="00580B71"/>
    <w:rsid w:val="00582D3F"/>
    <w:rsid w:val="0058583D"/>
    <w:rsid w:val="005A0C36"/>
    <w:rsid w:val="005A2A33"/>
    <w:rsid w:val="005A4237"/>
    <w:rsid w:val="005B135D"/>
    <w:rsid w:val="005B65B2"/>
    <w:rsid w:val="005C20BA"/>
    <w:rsid w:val="005C6C45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2D20"/>
    <w:rsid w:val="005F3A41"/>
    <w:rsid w:val="005F6D39"/>
    <w:rsid w:val="005F755B"/>
    <w:rsid w:val="005F7785"/>
    <w:rsid w:val="005F7C25"/>
    <w:rsid w:val="006058F4"/>
    <w:rsid w:val="00605F84"/>
    <w:rsid w:val="00612507"/>
    <w:rsid w:val="0061684E"/>
    <w:rsid w:val="0062036A"/>
    <w:rsid w:val="006238D6"/>
    <w:rsid w:val="00623E0E"/>
    <w:rsid w:val="00624434"/>
    <w:rsid w:val="0063189B"/>
    <w:rsid w:val="00632D99"/>
    <w:rsid w:val="006379C1"/>
    <w:rsid w:val="00644276"/>
    <w:rsid w:val="00647D81"/>
    <w:rsid w:val="006519DE"/>
    <w:rsid w:val="00653539"/>
    <w:rsid w:val="006570E2"/>
    <w:rsid w:val="00664D26"/>
    <w:rsid w:val="00671689"/>
    <w:rsid w:val="006754FC"/>
    <w:rsid w:val="00676C70"/>
    <w:rsid w:val="0067760C"/>
    <w:rsid w:val="00692681"/>
    <w:rsid w:val="006B37B2"/>
    <w:rsid w:val="006B5EE0"/>
    <w:rsid w:val="006B7CDE"/>
    <w:rsid w:val="006C1A5C"/>
    <w:rsid w:val="006C71F6"/>
    <w:rsid w:val="006D2006"/>
    <w:rsid w:val="006D7107"/>
    <w:rsid w:val="006E5E86"/>
    <w:rsid w:val="006F2AD0"/>
    <w:rsid w:val="006F4D58"/>
    <w:rsid w:val="007008E1"/>
    <w:rsid w:val="007045ED"/>
    <w:rsid w:val="00704BF1"/>
    <w:rsid w:val="00704E54"/>
    <w:rsid w:val="00714D09"/>
    <w:rsid w:val="00715EE9"/>
    <w:rsid w:val="00721EB2"/>
    <w:rsid w:val="00722E4B"/>
    <w:rsid w:val="00723FB1"/>
    <w:rsid w:val="0072767A"/>
    <w:rsid w:val="00731B20"/>
    <w:rsid w:val="0073335F"/>
    <w:rsid w:val="00742A18"/>
    <w:rsid w:val="00743BFC"/>
    <w:rsid w:val="00746CE4"/>
    <w:rsid w:val="007479B1"/>
    <w:rsid w:val="00751F16"/>
    <w:rsid w:val="00755D27"/>
    <w:rsid w:val="00756CBC"/>
    <w:rsid w:val="007606B9"/>
    <w:rsid w:val="00760F1D"/>
    <w:rsid w:val="00761FB8"/>
    <w:rsid w:val="007652F8"/>
    <w:rsid w:val="0076595F"/>
    <w:rsid w:val="00766AA9"/>
    <w:rsid w:val="00770AAC"/>
    <w:rsid w:val="00774C01"/>
    <w:rsid w:val="00782DCA"/>
    <w:rsid w:val="007923E7"/>
    <w:rsid w:val="0079297C"/>
    <w:rsid w:val="00796438"/>
    <w:rsid w:val="007A04F1"/>
    <w:rsid w:val="007A080A"/>
    <w:rsid w:val="007A0910"/>
    <w:rsid w:val="007A2CA1"/>
    <w:rsid w:val="007A652C"/>
    <w:rsid w:val="007A7AF9"/>
    <w:rsid w:val="007B2C09"/>
    <w:rsid w:val="007B3A76"/>
    <w:rsid w:val="007B415C"/>
    <w:rsid w:val="007B4CBB"/>
    <w:rsid w:val="007C5AC6"/>
    <w:rsid w:val="007D0005"/>
    <w:rsid w:val="007D2916"/>
    <w:rsid w:val="007D52B4"/>
    <w:rsid w:val="007D5F02"/>
    <w:rsid w:val="007E47CC"/>
    <w:rsid w:val="007F62B4"/>
    <w:rsid w:val="00800F48"/>
    <w:rsid w:val="0080244A"/>
    <w:rsid w:val="00804871"/>
    <w:rsid w:val="00805D2B"/>
    <w:rsid w:val="00807BAC"/>
    <w:rsid w:val="00810D85"/>
    <w:rsid w:val="00811A0B"/>
    <w:rsid w:val="008124CB"/>
    <w:rsid w:val="0081469E"/>
    <w:rsid w:val="00814A6A"/>
    <w:rsid w:val="008165E5"/>
    <w:rsid w:val="00816A15"/>
    <w:rsid w:val="00817D76"/>
    <w:rsid w:val="00821E03"/>
    <w:rsid w:val="008224FD"/>
    <w:rsid w:val="00822C94"/>
    <w:rsid w:val="00822EEB"/>
    <w:rsid w:val="00823E4F"/>
    <w:rsid w:val="00835AC6"/>
    <w:rsid w:val="008363EA"/>
    <w:rsid w:val="00837C0D"/>
    <w:rsid w:val="00840DC3"/>
    <w:rsid w:val="0084481A"/>
    <w:rsid w:val="00845080"/>
    <w:rsid w:val="0085021B"/>
    <w:rsid w:val="00854A19"/>
    <w:rsid w:val="00860C05"/>
    <w:rsid w:val="00861F61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D74"/>
    <w:rsid w:val="00892F36"/>
    <w:rsid w:val="00895668"/>
    <w:rsid w:val="008A0F44"/>
    <w:rsid w:val="008A254E"/>
    <w:rsid w:val="008B01D3"/>
    <w:rsid w:val="008B28C9"/>
    <w:rsid w:val="008B6077"/>
    <w:rsid w:val="008B6869"/>
    <w:rsid w:val="008C793C"/>
    <w:rsid w:val="008D030F"/>
    <w:rsid w:val="008D237F"/>
    <w:rsid w:val="008D32E0"/>
    <w:rsid w:val="008D4171"/>
    <w:rsid w:val="008D6F97"/>
    <w:rsid w:val="008D7F05"/>
    <w:rsid w:val="008E279F"/>
    <w:rsid w:val="008E5B08"/>
    <w:rsid w:val="008F1FFE"/>
    <w:rsid w:val="00904422"/>
    <w:rsid w:val="0091154C"/>
    <w:rsid w:val="0091256F"/>
    <w:rsid w:val="00914034"/>
    <w:rsid w:val="00914C49"/>
    <w:rsid w:val="0091552D"/>
    <w:rsid w:val="009202DB"/>
    <w:rsid w:val="009224BE"/>
    <w:rsid w:val="0092303B"/>
    <w:rsid w:val="00924B76"/>
    <w:rsid w:val="00924F77"/>
    <w:rsid w:val="00926A55"/>
    <w:rsid w:val="009316E8"/>
    <w:rsid w:val="00936A56"/>
    <w:rsid w:val="00943828"/>
    <w:rsid w:val="009541EF"/>
    <w:rsid w:val="00962430"/>
    <w:rsid w:val="00963A00"/>
    <w:rsid w:val="00965961"/>
    <w:rsid w:val="009666ED"/>
    <w:rsid w:val="00971844"/>
    <w:rsid w:val="0097567E"/>
    <w:rsid w:val="00981F06"/>
    <w:rsid w:val="00982BDF"/>
    <w:rsid w:val="00992939"/>
    <w:rsid w:val="00992C44"/>
    <w:rsid w:val="009931AB"/>
    <w:rsid w:val="009972B8"/>
    <w:rsid w:val="009A2859"/>
    <w:rsid w:val="009A52A7"/>
    <w:rsid w:val="009B04B6"/>
    <w:rsid w:val="009B190D"/>
    <w:rsid w:val="009B4BAB"/>
    <w:rsid w:val="009B6155"/>
    <w:rsid w:val="009C0524"/>
    <w:rsid w:val="009C3B96"/>
    <w:rsid w:val="009C3F96"/>
    <w:rsid w:val="009C6C1B"/>
    <w:rsid w:val="009D15EB"/>
    <w:rsid w:val="009D23D1"/>
    <w:rsid w:val="009D5DEF"/>
    <w:rsid w:val="009D6B09"/>
    <w:rsid w:val="009E21C2"/>
    <w:rsid w:val="009E35B1"/>
    <w:rsid w:val="009E4CDF"/>
    <w:rsid w:val="009E51F9"/>
    <w:rsid w:val="009E7584"/>
    <w:rsid w:val="009F0171"/>
    <w:rsid w:val="009F7C5C"/>
    <w:rsid w:val="00A003CB"/>
    <w:rsid w:val="00A028B9"/>
    <w:rsid w:val="00A07B89"/>
    <w:rsid w:val="00A10F02"/>
    <w:rsid w:val="00A11B28"/>
    <w:rsid w:val="00A160D8"/>
    <w:rsid w:val="00A20455"/>
    <w:rsid w:val="00A314CE"/>
    <w:rsid w:val="00A3211F"/>
    <w:rsid w:val="00A37A0B"/>
    <w:rsid w:val="00A37CF8"/>
    <w:rsid w:val="00A5080B"/>
    <w:rsid w:val="00A5235C"/>
    <w:rsid w:val="00A5585E"/>
    <w:rsid w:val="00A64695"/>
    <w:rsid w:val="00A647D3"/>
    <w:rsid w:val="00A65B8C"/>
    <w:rsid w:val="00A6745B"/>
    <w:rsid w:val="00A73E04"/>
    <w:rsid w:val="00A752B6"/>
    <w:rsid w:val="00A7678E"/>
    <w:rsid w:val="00A84C59"/>
    <w:rsid w:val="00A905F7"/>
    <w:rsid w:val="00A90788"/>
    <w:rsid w:val="00AA1676"/>
    <w:rsid w:val="00AB150B"/>
    <w:rsid w:val="00AB2DE8"/>
    <w:rsid w:val="00AC135B"/>
    <w:rsid w:val="00AC4157"/>
    <w:rsid w:val="00AC6E70"/>
    <w:rsid w:val="00AC7EC3"/>
    <w:rsid w:val="00AD0E63"/>
    <w:rsid w:val="00AD4472"/>
    <w:rsid w:val="00AD6294"/>
    <w:rsid w:val="00AD6F26"/>
    <w:rsid w:val="00AD6F2C"/>
    <w:rsid w:val="00AE2FE6"/>
    <w:rsid w:val="00AE3C0A"/>
    <w:rsid w:val="00AE426E"/>
    <w:rsid w:val="00AE5AC4"/>
    <w:rsid w:val="00AF2B9B"/>
    <w:rsid w:val="00AF4452"/>
    <w:rsid w:val="00B0046D"/>
    <w:rsid w:val="00B02830"/>
    <w:rsid w:val="00B02967"/>
    <w:rsid w:val="00B05108"/>
    <w:rsid w:val="00B070AA"/>
    <w:rsid w:val="00B11AB7"/>
    <w:rsid w:val="00B13992"/>
    <w:rsid w:val="00B14011"/>
    <w:rsid w:val="00B143A8"/>
    <w:rsid w:val="00B16644"/>
    <w:rsid w:val="00B1718D"/>
    <w:rsid w:val="00B175D1"/>
    <w:rsid w:val="00B21D0B"/>
    <w:rsid w:val="00B22656"/>
    <w:rsid w:val="00B261D6"/>
    <w:rsid w:val="00B306F4"/>
    <w:rsid w:val="00B32AB9"/>
    <w:rsid w:val="00B33791"/>
    <w:rsid w:val="00B36B9B"/>
    <w:rsid w:val="00B37016"/>
    <w:rsid w:val="00B45FEF"/>
    <w:rsid w:val="00B553D8"/>
    <w:rsid w:val="00B55EDA"/>
    <w:rsid w:val="00B60F5A"/>
    <w:rsid w:val="00B610CA"/>
    <w:rsid w:val="00B62609"/>
    <w:rsid w:val="00B653FD"/>
    <w:rsid w:val="00B8029D"/>
    <w:rsid w:val="00B83726"/>
    <w:rsid w:val="00B840CE"/>
    <w:rsid w:val="00B861E1"/>
    <w:rsid w:val="00B9519F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5815"/>
    <w:rsid w:val="00BE07E0"/>
    <w:rsid w:val="00BE2DE7"/>
    <w:rsid w:val="00BE479C"/>
    <w:rsid w:val="00BE6398"/>
    <w:rsid w:val="00BE70C8"/>
    <w:rsid w:val="00BF1375"/>
    <w:rsid w:val="00BF17FE"/>
    <w:rsid w:val="00BF1B79"/>
    <w:rsid w:val="00BF331D"/>
    <w:rsid w:val="00BF79F2"/>
    <w:rsid w:val="00C035CA"/>
    <w:rsid w:val="00C04DE4"/>
    <w:rsid w:val="00C05E60"/>
    <w:rsid w:val="00C14C0B"/>
    <w:rsid w:val="00C15B50"/>
    <w:rsid w:val="00C1688F"/>
    <w:rsid w:val="00C17D24"/>
    <w:rsid w:val="00C22233"/>
    <w:rsid w:val="00C25F19"/>
    <w:rsid w:val="00C30B61"/>
    <w:rsid w:val="00C33BDD"/>
    <w:rsid w:val="00C33F02"/>
    <w:rsid w:val="00C34205"/>
    <w:rsid w:val="00C45899"/>
    <w:rsid w:val="00C51884"/>
    <w:rsid w:val="00C60D13"/>
    <w:rsid w:val="00C62D7C"/>
    <w:rsid w:val="00C62F2D"/>
    <w:rsid w:val="00C63230"/>
    <w:rsid w:val="00C72A35"/>
    <w:rsid w:val="00C83DF9"/>
    <w:rsid w:val="00C86B68"/>
    <w:rsid w:val="00C9000A"/>
    <w:rsid w:val="00C92F74"/>
    <w:rsid w:val="00C95428"/>
    <w:rsid w:val="00CA1119"/>
    <w:rsid w:val="00CA14E9"/>
    <w:rsid w:val="00CA1BBA"/>
    <w:rsid w:val="00CA3CE6"/>
    <w:rsid w:val="00CA4900"/>
    <w:rsid w:val="00CA5838"/>
    <w:rsid w:val="00CB5B82"/>
    <w:rsid w:val="00CC131C"/>
    <w:rsid w:val="00CC2C39"/>
    <w:rsid w:val="00CD26F4"/>
    <w:rsid w:val="00CD4B5C"/>
    <w:rsid w:val="00CE01D4"/>
    <w:rsid w:val="00CE059A"/>
    <w:rsid w:val="00CE1FF2"/>
    <w:rsid w:val="00CE549D"/>
    <w:rsid w:val="00CF0D57"/>
    <w:rsid w:val="00CF2172"/>
    <w:rsid w:val="00CF3535"/>
    <w:rsid w:val="00CF6ACF"/>
    <w:rsid w:val="00D06CE9"/>
    <w:rsid w:val="00D13B46"/>
    <w:rsid w:val="00D14463"/>
    <w:rsid w:val="00D22214"/>
    <w:rsid w:val="00D307A0"/>
    <w:rsid w:val="00D320FD"/>
    <w:rsid w:val="00D3240A"/>
    <w:rsid w:val="00D4175D"/>
    <w:rsid w:val="00D42080"/>
    <w:rsid w:val="00D42992"/>
    <w:rsid w:val="00D47ABC"/>
    <w:rsid w:val="00D50C74"/>
    <w:rsid w:val="00D53481"/>
    <w:rsid w:val="00D53E29"/>
    <w:rsid w:val="00D566A3"/>
    <w:rsid w:val="00D56EF3"/>
    <w:rsid w:val="00D64FFB"/>
    <w:rsid w:val="00D6501D"/>
    <w:rsid w:val="00D666DA"/>
    <w:rsid w:val="00D67AF2"/>
    <w:rsid w:val="00D71B4B"/>
    <w:rsid w:val="00D728E8"/>
    <w:rsid w:val="00D737B2"/>
    <w:rsid w:val="00D73E3E"/>
    <w:rsid w:val="00D743C3"/>
    <w:rsid w:val="00D744EC"/>
    <w:rsid w:val="00D75746"/>
    <w:rsid w:val="00D765DC"/>
    <w:rsid w:val="00D767C6"/>
    <w:rsid w:val="00D77EDF"/>
    <w:rsid w:val="00D80226"/>
    <w:rsid w:val="00D8072D"/>
    <w:rsid w:val="00D84F14"/>
    <w:rsid w:val="00D94FDA"/>
    <w:rsid w:val="00D97FD0"/>
    <w:rsid w:val="00DA00FE"/>
    <w:rsid w:val="00DA2267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62CF"/>
    <w:rsid w:val="00E01817"/>
    <w:rsid w:val="00E02138"/>
    <w:rsid w:val="00E04BB7"/>
    <w:rsid w:val="00E20C4C"/>
    <w:rsid w:val="00E20FF0"/>
    <w:rsid w:val="00E2193A"/>
    <w:rsid w:val="00E23687"/>
    <w:rsid w:val="00E240C2"/>
    <w:rsid w:val="00E46062"/>
    <w:rsid w:val="00E469DE"/>
    <w:rsid w:val="00E46B59"/>
    <w:rsid w:val="00E52989"/>
    <w:rsid w:val="00E53202"/>
    <w:rsid w:val="00E57838"/>
    <w:rsid w:val="00E614B2"/>
    <w:rsid w:val="00E617A6"/>
    <w:rsid w:val="00E632F7"/>
    <w:rsid w:val="00E753D3"/>
    <w:rsid w:val="00E801A0"/>
    <w:rsid w:val="00E80D85"/>
    <w:rsid w:val="00E8226A"/>
    <w:rsid w:val="00E84BBD"/>
    <w:rsid w:val="00E8528B"/>
    <w:rsid w:val="00E8609D"/>
    <w:rsid w:val="00E865BA"/>
    <w:rsid w:val="00E923B0"/>
    <w:rsid w:val="00E952FC"/>
    <w:rsid w:val="00E964C8"/>
    <w:rsid w:val="00EA1F6F"/>
    <w:rsid w:val="00EA236A"/>
    <w:rsid w:val="00EA43CD"/>
    <w:rsid w:val="00EA7949"/>
    <w:rsid w:val="00EB543F"/>
    <w:rsid w:val="00ED1168"/>
    <w:rsid w:val="00ED509C"/>
    <w:rsid w:val="00ED5AD5"/>
    <w:rsid w:val="00EE1920"/>
    <w:rsid w:val="00EE5453"/>
    <w:rsid w:val="00EE60D4"/>
    <w:rsid w:val="00EE7F9B"/>
    <w:rsid w:val="00EF1734"/>
    <w:rsid w:val="00EF17F9"/>
    <w:rsid w:val="00EF3971"/>
    <w:rsid w:val="00EF422B"/>
    <w:rsid w:val="00EF461A"/>
    <w:rsid w:val="00EF6594"/>
    <w:rsid w:val="00EF6E72"/>
    <w:rsid w:val="00EF738E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461B"/>
    <w:rsid w:val="00F1754C"/>
    <w:rsid w:val="00F2015D"/>
    <w:rsid w:val="00F3009C"/>
    <w:rsid w:val="00F3274D"/>
    <w:rsid w:val="00F40769"/>
    <w:rsid w:val="00F40BE5"/>
    <w:rsid w:val="00F43FBF"/>
    <w:rsid w:val="00F4519E"/>
    <w:rsid w:val="00F508D0"/>
    <w:rsid w:val="00F52156"/>
    <w:rsid w:val="00F552C5"/>
    <w:rsid w:val="00F55350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2B71"/>
    <w:rsid w:val="00FE30B5"/>
    <w:rsid w:val="00FE3206"/>
    <w:rsid w:val="00FE5C8C"/>
    <w:rsid w:val="00FE5D62"/>
    <w:rsid w:val="00FE6CF8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8AE38"/>
  <w15:chartTrackingRefBased/>
  <w15:docId w15:val="{60D97626-1052-4548-8C27-18E35E06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link w:val="HeaderChar"/>
    <w:uiPriority w:val="99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80226"/>
    <w:rPr>
      <w:sz w:val="24"/>
      <w:szCs w:val="24"/>
      <w:lang w:val="en-GB"/>
    </w:rPr>
  </w:style>
  <w:style w:type="paragraph" w:customStyle="1" w:styleId="Body">
    <w:name w:val="Body"/>
    <w:rsid w:val="002862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customStyle="1" w:styleId="CharCharCharCharCharCharChar0">
    <w:name w:val="Char Char Char Char Char Char Char"/>
    <w:basedOn w:val="Normal"/>
    <w:rsid w:val="002862D6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unfpa-bangladesh@unfpa.or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subject/>
  <dc:creator>Deborah Gimona</dc:creator>
  <cp:keywords/>
  <cp:lastModifiedBy>Samira Kakon</cp:lastModifiedBy>
  <cp:revision>8</cp:revision>
  <cp:lastPrinted>2010-01-11T09:30:00Z</cp:lastPrinted>
  <dcterms:created xsi:type="dcterms:W3CDTF">2021-05-06T10:14:00Z</dcterms:created>
  <dcterms:modified xsi:type="dcterms:W3CDTF">2021-05-11T08:45:00Z</dcterms:modified>
</cp:coreProperties>
</file>